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EE54D4" w:rsidRPr="00EB32BB" w14:paraId="5EEB46CC" w14:textId="77777777" w:rsidTr="77DFF968">
        <w:trPr>
          <w:trHeight w:val="826"/>
        </w:trPr>
        <w:tc>
          <w:tcPr>
            <w:tcW w:w="10070" w:type="dxa"/>
            <w:shd w:val="clear" w:color="auto" w:fill="F26522" w:themeFill="accent1"/>
          </w:tcPr>
          <w:p w14:paraId="137A8920" w14:textId="20A9FDE4" w:rsidR="00EE54D4" w:rsidRPr="00EB32BB" w:rsidRDefault="00EE54D4" w:rsidP="00F925CF">
            <w:pPr>
              <w:pStyle w:val="BlockText"/>
              <w:spacing w:before="0" w:after="0" w:line="240" w:lineRule="auto"/>
              <w:rPr>
                <w:rFonts w:cs="Arial"/>
                <w:sz w:val="20"/>
                <w:szCs w:val="20"/>
              </w:rPr>
            </w:pPr>
            <w:r>
              <w:rPr>
                <w:rFonts w:cs="Arial"/>
                <w:b/>
                <w:sz w:val="28"/>
                <w:szCs w:val="28"/>
              </w:rPr>
              <w:t>CUSC Alternative Form</w:t>
            </w:r>
          </w:p>
        </w:tc>
      </w:tr>
      <w:tr w:rsidR="005C2D1D" w:rsidRPr="00EB32BB" w14:paraId="18ACFA02" w14:textId="77777777" w:rsidTr="77DFF968">
        <w:trPr>
          <w:trHeight w:val="2438"/>
        </w:trPr>
        <w:tc>
          <w:tcPr>
            <w:tcW w:w="10070" w:type="dxa"/>
            <w:shd w:val="clear" w:color="auto" w:fill="auto"/>
          </w:tcPr>
          <w:p w14:paraId="04D2B5D0" w14:textId="3A80F735" w:rsidR="005C2D1D" w:rsidRPr="00295110" w:rsidRDefault="005C2D1D" w:rsidP="00F925CF">
            <w:pPr>
              <w:spacing w:before="0" w:after="0"/>
              <w:rPr>
                <w:rFonts w:cs="Arial"/>
                <w:b/>
                <w:color w:val="F26522" w:themeColor="accent1"/>
                <w:sz w:val="56"/>
                <w:szCs w:val="56"/>
              </w:rPr>
            </w:pPr>
            <w:bookmarkStart w:id="0" w:name="_Hlk31877162"/>
            <w:r>
              <w:rPr>
                <w:rFonts w:cs="Arial"/>
                <w:b/>
                <w:color w:val="F26522" w:themeColor="accent1"/>
                <w:sz w:val="56"/>
                <w:szCs w:val="56"/>
              </w:rPr>
              <w:t>CMP</w:t>
            </w:r>
            <w:r w:rsidR="00ED0571">
              <w:rPr>
                <w:rFonts w:cs="Arial"/>
                <w:b/>
                <w:color w:val="F26522" w:themeColor="accent1"/>
                <w:sz w:val="56"/>
                <w:szCs w:val="56"/>
              </w:rPr>
              <w:t>328</w:t>
            </w:r>
            <w:r w:rsidR="00303CCE">
              <w:rPr>
                <w:rFonts w:cs="Arial"/>
                <w:b/>
                <w:color w:val="F26522" w:themeColor="accent1"/>
                <w:sz w:val="56"/>
                <w:szCs w:val="56"/>
              </w:rPr>
              <w:t xml:space="preserve"> Alternative</w:t>
            </w:r>
            <w:r w:rsidR="00292AF3">
              <w:rPr>
                <w:rFonts w:cs="Arial"/>
                <w:b/>
                <w:color w:val="F26522" w:themeColor="accent1"/>
                <w:sz w:val="56"/>
                <w:szCs w:val="56"/>
              </w:rPr>
              <w:t xml:space="preserve"> Request</w:t>
            </w:r>
            <w:r w:rsidR="00D153B2">
              <w:rPr>
                <w:rFonts w:cs="Arial"/>
                <w:b/>
                <w:color w:val="F26522" w:themeColor="accent1"/>
                <w:sz w:val="56"/>
                <w:szCs w:val="56"/>
              </w:rPr>
              <w:t xml:space="preserve"> 3</w:t>
            </w:r>
            <w:r w:rsidRPr="00295110">
              <w:rPr>
                <w:rFonts w:cs="Arial"/>
                <w:b/>
                <w:color w:val="F26522" w:themeColor="accent1"/>
                <w:sz w:val="56"/>
                <w:szCs w:val="56"/>
              </w:rPr>
              <w:t>:</w:t>
            </w:r>
          </w:p>
          <w:p w14:paraId="35ABBE36" w14:textId="27D5D4E3" w:rsidR="005C2D1D" w:rsidRPr="00A6159E" w:rsidRDefault="00DA497D" w:rsidP="00F925CF">
            <w:pPr>
              <w:spacing w:before="0" w:after="0" w:line="240" w:lineRule="auto"/>
              <w:rPr>
                <w:rFonts w:cs="Arial"/>
                <w:b/>
                <w:color w:val="F26522" w:themeColor="accent1"/>
                <w:sz w:val="24"/>
                <w:szCs w:val="20"/>
              </w:rPr>
            </w:pPr>
            <w:r w:rsidRPr="00DA497D">
              <w:rPr>
                <w:rFonts w:cs="Arial"/>
                <w:b/>
                <w:color w:val="F26522" w:themeColor="accent1"/>
                <w:sz w:val="44"/>
                <w:szCs w:val="44"/>
              </w:rPr>
              <w:t>Connections Triggering Distribution Impact Assessment</w:t>
            </w:r>
            <w:bookmarkEnd w:id="0"/>
          </w:p>
        </w:tc>
      </w:tr>
      <w:tr w:rsidR="00DB447A" w:rsidRPr="00EB32BB" w14:paraId="76F94904" w14:textId="77777777" w:rsidTr="77DFF968">
        <w:trPr>
          <w:trHeight w:val="817"/>
        </w:trPr>
        <w:tc>
          <w:tcPr>
            <w:tcW w:w="10070" w:type="dxa"/>
            <w:shd w:val="clear" w:color="auto" w:fill="auto"/>
          </w:tcPr>
          <w:p w14:paraId="3EFFD0C7" w14:textId="3E1C7BD8" w:rsidR="00DB447A" w:rsidRPr="00A02D8E" w:rsidRDefault="00D44E46" w:rsidP="77DFF968">
            <w:pPr>
              <w:pStyle w:val="BodyText2"/>
              <w:spacing w:before="0" w:after="0"/>
              <w:rPr>
                <w:rFonts w:cs="Arial"/>
                <w:b/>
                <w:bCs/>
                <w:sz w:val="24"/>
              </w:rPr>
            </w:pPr>
            <w:r w:rsidRPr="77DFF968">
              <w:rPr>
                <w:rFonts w:cs="Arial"/>
                <w:b/>
                <w:bCs/>
                <w:sz w:val="24"/>
              </w:rPr>
              <w:t>Overview</w:t>
            </w:r>
            <w:r w:rsidR="00DB447A" w:rsidRPr="77DFF968">
              <w:rPr>
                <w:rFonts w:cs="Arial"/>
                <w:b/>
                <w:bCs/>
                <w:sz w:val="24"/>
              </w:rPr>
              <w:t>:</w:t>
            </w:r>
            <w:r w:rsidR="00BD0AB5" w:rsidRPr="77DFF968">
              <w:rPr>
                <w:rFonts w:cs="Arial"/>
                <w:sz w:val="24"/>
              </w:rPr>
              <w:t xml:space="preserve"> </w:t>
            </w:r>
            <w:r w:rsidR="004B50B7">
              <w:t xml:space="preserve"> </w:t>
            </w:r>
            <w:r w:rsidR="004C109E" w:rsidRPr="77DFF968">
              <w:rPr>
                <w:rFonts w:cs="Arial"/>
                <w:sz w:val="24"/>
              </w:rPr>
              <w:t xml:space="preserve">As per the Original, </w:t>
            </w:r>
            <w:r w:rsidR="00FA373B" w:rsidRPr="77DFF968">
              <w:rPr>
                <w:rFonts w:cs="Arial"/>
                <w:sz w:val="24"/>
              </w:rPr>
              <w:t xml:space="preserve">except to apply to all new connecting assets including, but not limited to, those from IDNOs, DNOs, TOs, OFTOs and Interconnectors (as well as Generation and Demand, which are part of the Original proposal) and </w:t>
            </w:r>
            <w:r w:rsidR="004C109E" w:rsidRPr="77DFF968">
              <w:rPr>
                <w:rFonts w:cs="Arial"/>
                <w:sz w:val="24"/>
              </w:rPr>
              <w:t>with a</w:t>
            </w:r>
            <w:r w:rsidR="008F5E98" w:rsidRPr="77DFF968">
              <w:rPr>
                <w:rFonts w:cs="Arial"/>
                <w:sz w:val="24"/>
              </w:rPr>
              <w:t xml:space="preserve">n </w:t>
            </w:r>
            <w:r w:rsidR="00FA373B" w:rsidRPr="77DFF968">
              <w:rPr>
                <w:rFonts w:cs="Arial"/>
                <w:sz w:val="24"/>
              </w:rPr>
              <w:t>alternative</w:t>
            </w:r>
            <w:r w:rsidR="00F8077E" w:rsidRPr="77DFF968">
              <w:rPr>
                <w:rFonts w:cs="Arial"/>
                <w:sz w:val="24"/>
              </w:rPr>
              <w:t xml:space="preserve"> approach to</w:t>
            </w:r>
            <w:r w:rsidR="008F5E98" w:rsidRPr="77DFF968">
              <w:rPr>
                <w:rFonts w:cs="Arial"/>
                <w:sz w:val="24"/>
              </w:rPr>
              <w:t xml:space="preserve"> </w:t>
            </w:r>
            <w:r w:rsidR="00FA373B" w:rsidRPr="77DFF968">
              <w:rPr>
                <w:rFonts w:cs="Arial"/>
                <w:sz w:val="24"/>
              </w:rPr>
              <w:t>defining</w:t>
            </w:r>
            <w:r w:rsidR="008F5E98" w:rsidRPr="77DFF968">
              <w:rPr>
                <w:rFonts w:cs="Arial"/>
                <w:sz w:val="24"/>
              </w:rPr>
              <w:t xml:space="preserve"> when the DIA process </w:t>
            </w:r>
            <w:r w:rsidR="00523A71" w:rsidRPr="77DFF968">
              <w:rPr>
                <w:rFonts w:cs="Arial"/>
                <w:sz w:val="24"/>
              </w:rPr>
              <w:t>would be triggered</w:t>
            </w:r>
            <w:r w:rsidR="004B50B7" w:rsidRPr="77DFF968">
              <w:rPr>
                <w:rFonts w:cs="Arial"/>
                <w:sz w:val="24"/>
              </w:rPr>
              <w:t>.</w:t>
            </w:r>
          </w:p>
        </w:tc>
      </w:tr>
      <w:tr w:rsidR="00DF3A58" w:rsidRPr="00EB32BB" w14:paraId="44B10B38" w14:textId="77777777" w:rsidTr="77DFF968">
        <w:trPr>
          <w:trHeight w:val="575"/>
        </w:trPr>
        <w:tc>
          <w:tcPr>
            <w:tcW w:w="10070" w:type="dxa"/>
            <w:shd w:val="clear" w:color="auto" w:fill="auto"/>
          </w:tcPr>
          <w:p w14:paraId="289C849C" w14:textId="1FC2D50B" w:rsidR="00DF3A58" w:rsidRDefault="00343B5F" w:rsidP="00F925CF">
            <w:pPr>
              <w:pStyle w:val="BodyText2"/>
              <w:spacing w:before="0" w:after="0"/>
              <w:rPr>
                <w:rFonts w:cs="Arial"/>
                <w:sz w:val="24"/>
              </w:rPr>
            </w:pPr>
            <w:r>
              <w:rPr>
                <w:rFonts w:cs="Arial"/>
                <w:b/>
                <w:bCs/>
                <w:sz w:val="24"/>
              </w:rPr>
              <w:t>Proposer</w:t>
            </w:r>
            <w:r w:rsidRPr="6DC9E538">
              <w:rPr>
                <w:rFonts w:cs="Arial"/>
                <w:b/>
                <w:bCs/>
                <w:sz w:val="24"/>
              </w:rPr>
              <w:t>:</w:t>
            </w:r>
            <w:r w:rsidRPr="006634D7">
              <w:rPr>
                <w:rFonts w:cs="Arial"/>
                <w:sz w:val="24"/>
              </w:rPr>
              <w:t xml:space="preserve"> </w:t>
            </w:r>
            <w:r w:rsidR="00D054FD">
              <w:rPr>
                <w:rFonts w:cs="Arial"/>
                <w:sz w:val="24"/>
              </w:rPr>
              <w:t>Grahame Neale, National Grid ESO.</w:t>
            </w:r>
          </w:p>
          <w:p w14:paraId="3CAFF0AE" w14:textId="2F609E0F" w:rsidR="00E23927" w:rsidRDefault="00E23927" w:rsidP="00F925CF">
            <w:pPr>
              <w:pStyle w:val="BodyText2"/>
              <w:spacing w:before="0" w:after="0"/>
              <w:rPr>
                <w:rFonts w:cs="Arial"/>
                <w:b/>
                <w:bCs/>
                <w:sz w:val="24"/>
              </w:rPr>
            </w:pPr>
          </w:p>
        </w:tc>
      </w:tr>
      <w:tr w:rsidR="00AC298B" w:rsidRPr="00EB32BB" w14:paraId="6A8E329E" w14:textId="77777777" w:rsidTr="77DFF968">
        <w:trPr>
          <w:trHeight w:val="631"/>
        </w:trPr>
        <w:tc>
          <w:tcPr>
            <w:tcW w:w="10070" w:type="dxa"/>
            <w:tcBorders>
              <w:left w:val="single" w:sz="4" w:space="0" w:color="FFFFFF" w:themeColor="background1"/>
              <w:right w:val="single" w:sz="4" w:space="0" w:color="FFFFFF" w:themeColor="background1"/>
            </w:tcBorders>
            <w:shd w:val="clear" w:color="auto" w:fill="auto"/>
          </w:tcPr>
          <w:p w14:paraId="545F640D" w14:textId="77777777" w:rsidR="00AC298B" w:rsidRDefault="00AC298B" w:rsidP="00F925CF">
            <w:pPr>
              <w:pStyle w:val="BodyText2"/>
              <w:spacing w:before="0" w:after="0"/>
              <w:rPr>
                <w:rFonts w:cs="Arial"/>
                <w:b/>
                <w:bCs/>
                <w:sz w:val="24"/>
              </w:rPr>
            </w:pPr>
          </w:p>
        </w:tc>
      </w:tr>
    </w:tbl>
    <w:p w14:paraId="7D2164F8" w14:textId="5D8E032A" w:rsidR="00250A22" w:rsidRDefault="00250A22">
      <w:pPr>
        <w:spacing w:before="0" w:after="160" w:line="259" w:lineRule="auto"/>
        <w:rPr>
          <w:rFonts w:cs="Arial"/>
          <w:b/>
          <w:bCs/>
          <w:color w:val="FFFFFF" w:themeColor="background1"/>
          <w:kern w:val="32"/>
          <w:sz w:val="28"/>
          <w:szCs w:val="32"/>
        </w:rPr>
      </w:pPr>
      <w:bookmarkStart w:id="1" w:name="_Executive_Summary"/>
      <w:bookmarkStart w:id="2" w:name="_Workgroup_Consultation_Introduction"/>
      <w:bookmarkEnd w:id="1"/>
      <w:bookmarkEnd w:id="2"/>
    </w:p>
    <w:p w14:paraId="41279394" w14:textId="75AFC639" w:rsidR="0004551F" w:rsidRDefault="0004551F">
      <w:pPr>
        <w:spacing w:before="0" w:after="160" w:line="259" w:lineRule="auto"/>
        <w:rPr>
          <w:rFonts w:cs="Arial"/>
          <w:b/>
          <w:bCs/>
          <w:color w:val="FFFFFF" w:themeColor="background1"/>
          <w:kern w:val="32"/>
          <w:sz w:val="28"/>
          <w:szCs w:val="32"/>
        </w:rPr>
      </w:pPr>
    </w:p>
    <w:p w14:paraId="0E57795D" w14:textId="77777777" w:rsidR="00DB4D96" w:rsidRDefault="00DB4D96">
      <w:pPr>
        <w:spacing w:before="0" w:after="160" w:line="259" w:lineRule="auto"/>
        <w:rPr>
          <w:rFonts w:cs="Arial"/>
          <w:b/>
          <w:bCs/>
          <w:color w:val="FFFFFF" w:themeColor="background1"/>
          <w:kern w:val="32"/>
          <w:sz w:val="28"/>
          <w:szCs w:val="32"/>
        </w:rPr>
      </w:pPr>
      <w:r>
        <w:br w:type="page"/>
      </w:r>
    </w:p>
    <w:p w14:paraId="052B8006" w14:textId="41AC697B" w:rsidR="003C5A93" w:rsidRDefault="00250A22" w:rsidP="00F17B86">
      <w:pPr>
        <w:pStyle w:val="Checklist"/>
      </w:pPr>
      <w:r>
        <w:lastRenderedPageBreak/>
        <w:t>Contents</w:t>
      </w:r>
      <w:bookmarkStart w:id="3" w:name="_GoBack"/>
      <w:bookmarkEnd w:id="3"/>
    </w:p>
    <w:p w14:paraId="204615C6" w14:textId="4AB1194F" w:rsidR="00E83167" w:rsidRDefault="00E83167" w:rsidP="00F8077E">
      <w:pPr>
        <w:pStyle w:val="TOCMOD"/>
        <w:framePr w:hSpace="0" w:vSpace="0" w:wrap="auto" w:vAnchor="margin" w:yAlign="inline"/>
        <w:numPr>
          <w:ilvl w:val="0"/>
          <w:numId w:val="1"/>
        </w:numPr>
        <w:rPr>
          <w:rFonts w:cs="Arial"/>
          <w:color w:val="5BCBF5" w:themeColor="accent3"/>
        </w:rPr>
      </w:pPr>
      <w:r w:rsidRPr="008F0CAC">
        <w:rPr>
          <w:rFonts w:cs="Arial"/>
          <w:color w:val="5BCBF5" w:themeColor="accent3"/>
        </w:rPr>
        <w:t xml:space="preserve">What is the </w:t>
      </w:r>
      <w:r w:rsidR="002A07AF">
        <w:rPr>
          <w:rFonts w:cs="Arial"/>
          <w:color w:val="5BCBF5" w:themeColor="accent3"/>
        </w:rPr>
        <w:t xml:space="preserve">proposed alternative </w:t>
      </w:r>
      <w:r w:rsidRPr="008F0CAC">
        <w:rPr>
          <w:rFonts w:cs="Arial"/>
          <w:color w:val="5BCBF5" w:themeColor="accent3"/>
        </w:rPr>
        <w:t>solution?</w:t>
      </w:r>
    </w:p>
    <w:p w14:paraId="0724B775" w14:textId="06F673C9" w:rsidR="00777B44" w:rsidRDefault="00777B44" w:rsidP="00F8077E">
      <w:pPr>
        <w:pStyle w:val="TOCMOD"/>
        <w:framePr w:hSpace="0" w:vSpace="0" w:wrap="auto" w:vAnchor="margin" w:yAlign="inline"/>
        <w:numPr>
          <w:ilvl w:val="1"/>
          <w:numId w:val="1"/>
        </w:numPr>
        <w:rPr>
          <w:rFonts w:cs="Arial"/>
          <w:b w:val="0"/>
          <w:color w:val="auto"/>
        </w:rPr>
      </w:pPr>
      <w:r w:rsidRPr="00777B44">
        <w:rPr>
          <w:rFonts w:cs="Arial"/>
          <w:b w:val="0"/>
          <w:color w:val="auto"/>
        </w:rPr>
        <w:t xml:space="preserve">Difference between this and the </w:t>
      </w:r>
      <w:r>
        <w:rPr>
          <w:rFonts w:cs="Arial"/>
          <w:b w:val="0"/>
          <w:color w:val="auto"/>
        </w:rPr>
        <w:t>O</w:t>
      </w:r>
      <w:r w:rsidRPr="00777B44">
        <w:rPr>
          <w:rFonts w:cs="Arial"/>
          <w:b w:val="0"/>
          <w:color w:val="auto"/>
        </w:rPr>
        <w:t xml:space="preserve">riginal </w:t>
      </w:r>
      <w:r>
        <w:rPr>
          <w:rFonts w:cs="Arial"/>
          <w:b w:val="0"/>
          <w:color w:val="auto"/>
        </w:rPr>
        <w:t>P</w:t>
      </w:r>
      <w:r w:rsidRPr="00777B44">
        <w:rPr>
          <w:rFonts w:cs="Arial"/>
          <w:b w:val="0"/>
          <w:color w:val="auto"/>
        </w:rPr>
        <w:t>roposal</w:t>
      </w:r>
    </w:p>
    <w:p w14:paraId="3BBE1BAE" w14:textId="77777777" w:rsidR="00E83167" w:rsidRPr="00ED0188" w:rsidRDefault="00E83167" w:rsidP="00F8077E">
      <w:pPr>
        <w:pStyle w:val="TOCMOD"/>
        <w:framePr w:hSpace="0" w:vSpace="0" w:wrap="auto" w:vAnchor="margin" w:yAlign="inline"/>
        <w:numPr>
          <w:ilvl w:val="0"/>
          <w:numId w:val="1"/>
        </w:numPr>
        <w:rPr>
          <w:rFonts w:cs="Arial"/>
          <w:color w:val="0079C1" w:themeColor="accent2"/>
        </w:rPr>
      </w:pPr>
      <w:r>
        <w:rPr>
          <w:rFonts w:cs="Arial"/>
          <w:color w:val="0079C1" w:themeColor="accent2"/>
        </w:rPr>
        <w:t>What is the impact of this change?</w:t>
      </w:r>
    </w:p>
    <w:p w14:paraId="0738B862" w14:textId="0526E5EC" w:rsidR="00E83167" w:rsidRDefault="00E83167" w:rsidP="00F8077E">
      <w:pPr>
        <w:pStyle w:val="TOCMOD"/>
        <w:framePr w:hSpace="0" w:vSpace="0" w:wrap="auto" w:vAnchor="margin" w:yAlign="inline"/>
        <w:numPr>
          <w:ilvl w:val="0"/>
          <w:numId w:val="1"/>
        </w:numPr>
        <w:rPr>
          <w:rFonts w:cs="Arial"/>
          <w:color w:val="C2CD23" w:themeColor="accent4"/>
        </w:rPr>
      </w:pPr>
      <w:r>
        <w:rPr>
          <w:rFonts w:cs="Arial"/>
          <w:color w:val="C2CD23" w:themeColor="accent4"/>
        </w:rPr>
        <w:t>When will the change take place?</w:t>
      </w:r>
    </w:p>
    <w:p w14:paraId="576E8770" w14:textId="390F58C1" w:rsidR="00E83167" w:rsidRPr="00E16D72" w:rsidRDefault="00E83167" w:rsidP="00F8077E">
      <w:pPr>
        <w:pStyle w:val="TOCMOD"/>
        <w:framePr w:hSpace="0" w:vSpace="0" w:wrap="auto" w:vAnchor="margin" w:yAlign="inline"/>
        <w:numPr>
          <w:ilvl w:val="0"/>
          <w:numId w:val="1"/>
        </w:numPr>
        <w:spacing w:after="240"/>
        <w:rPr>
          <w:rFonts w:cs="Arial"/>
          <w:color w:val="454545" w:themeColor="text1"/>
        </w:rPr>
      </w:pPr>
      <w:r w:rsidRPr="00625705">
        <w:rPr>
          <w:rFonts w:cs="Arial"/>
          <w:color w:val="454545" w:themeColor="text1"/>
        </w:rPr>
        <w:t>Acronym</w:t>
      </w:r>
      <w:r w:rsidR="001E477B">
        <w:rPr>
          <w:rFonts w:cs="Arial"/>
          <w:color w:val="454545" w:themeColor="text1"/>
        </w:rPr>
        <w:t xml:space="preserve">s, key terms </w:t>
      </w:r>
      <w:r w:rsidRPr="00625705">
        <w:rPr>
          <w:rFonts w:cs="Arial"/>
          <w:color w:val="454545" w:themeColor="text1"/>
        </w:rPr>
        <w:t>and reference material</w:t>
      </w:r>
    </w:p>
    <w:p w14:paraId="1B84BD8B" w14:textId="77777777" w:rsidR="00B54392" w:rsidRDefault="00B54392">
      <w:pPr>
        <w:spacing w:before="0" w:after="160" w:line="259" w:lineRule="auto"/>
        <w:rPr>
          <w:rFonts w:cs="Arial"/>
          <w:b/>
          <w:bCs/>
          <w:color w:val="FFFFFF" w:themeColor="background1"/>
          <w:kern w:val="32"/>
          <w:sz w:val="28"/>
          <w:szCs w:val="32"/>
        </w:rPr>
      </w:pPr>
      <w:r>
        <w:br w:type="page"/>
      </w:r>
    </w:p>
    <w:p w14:paraId="78F02DF2" w14:textId="29A434A7" w:rsidR="00625705" w:rsidRPr="00976D98" w:rsidRDefault="00625705" w:rsidP="00976D98">
      <w:pPr>
        <w:pStyle w:val="Style3"/>
      </w:pPr>
      <w:r w:rsidRPr="00E93667">
        <w:lastRenderedPageBreak/>
        <w:t xml:space="preserve">What is the </w:t>
      </w:r>
      <w:r w:rsidR="00250A22">
        <w:t>prop</w:t>
      </w:r>
      <w:r w:rsidR="002A07AF">
        <w:t>osed alternative</w:t>
      </w:r>
      <w:r w:rsidR="00007585">
        <w:t xml:space="preserve"> </w:t>
      </w:r>
      <w:r w:rsidRPr="00E93667">
        <w:t>solution?</w:t>
      </w:r>
    </w:p>
    <w:p w14:paraId="1A6234E6" w14:textId="751CAA06" w:rsidR="00F01A31" w:rsidRDefault="004B50B7" w:rsidP="00196AA1">
      <w:pPr>
        <w:jc w:val="both"/>
        <w:rPr>
          <w:sz w:val="24"/>
        </w:rPr>
      </w:pPr>
      <w:r>
        <w:rPr>
          <w:sz w:val="24"/>
        </w:rPr>
        <w:t>Detailed</w:t>
      </w:r>
      <w:r w:rsidR="001F6B4B">
        <w:rPr>
          <w:sz w:val="24"/>
        </w:rPr>
        <w:t xml:space="preserve"> business rules</w:t>
      </w:r>
      <w:r w:rsidR="00B02531">
        <w:rPr>
          <w:sz w:val="24"/>
        </w:rPr>
        <w:t xml:space="preserve"> </w:t>
      </w:r>
      <w:r>
        <w:rPr>
          <w:sz w:val="24"/>
        </w:rPr>
        <w:t xml:space="preserve">are to be developed for </w:t>
      </w:r>
      <w:r w:rsidR="00B02531">
        <w:rPr>
          <w:sz w:val="24"/>
        </w:rPr>
        <w:t>full details however in summary t</w:t>
      </w:r>
      <w:r w:rsidR="0041663B">
        <w:rPr>
          <w:sz w:val="24"/>
        </w:rPr>
        <w:t xml:space="preserve">his alternative solution </w:t>
      </w:r>
      <w:r w:rsidR="00110783">
        <w:rPr>
          <w:sz w:val="24"/>
        </w:rPr>
        <w:t>proposes</w:t>
      </w:r>
      <w:r w:rsidR="00D94FA9">
        <w:rPr>
          <w:sz w:val="24"/>
        </w:rPr>
        <w:t xml:space="preserve"> two key amendments to the Original.</w:t>
      </w:r>
    </w:p>
    <w:p w14:paraId="594410B5" w14:textId="40F0B95B" w:rsidR="00D94FA9" w:rsidRDefault="00D94FA9" w:rsidP="00196AA1">
      <w:pPr>
        <w:jc w:val="both"/>
        <w:rPr>
          <w:sz w:val="24"/>
        </w:rPr>
      </w:pPr>
    </w:p>
    <w:p w14:paraId="6E03AE13" w14:textId="75A0E087" w:rsidR="00D94FA9" w:rsidRDefault="00D94FA9" w:rsidP="00196AA1">
      <w:pPr>
        <w:jc w:val="both"/>
        <w:rPr>
          <w:b/>
          <w:bCs/>
          <w:sz w:val="24"/>
        </w:rPr>
      </w:pPr>
      <w:r w:rsidRPr="3B866964">
        <w:rPr>
          <w:b/>
          <w:bCs/>
          <w:sz w:val="24"/>
        </w:rPr>
        <w:t>Applicability to All New Connecting Assets</w:t>
      </w:r>
    </w:p>
    <w:p w14:paraId="4C57508B" w14:textId="3D8905BD" w:rsidR="000F036B" w:rsidRDefault="005D2D89" w:rsidP="00196AA1">
      <w:pPr>
        <w:jc w:val="both"/>
        <w:rPr>
          <w:sz w:val="24"/>
        </w:rPr>
      </w:pPr>
      <w:r>
        <w:rPr>
          <w:sz w:val="24"/>
        </w:rPr>
        <w:t xml:space="preserve">The Original </w:t>
      </w:r>
      <w:r w:rsidR="00EA29C5">
        <w:rPr>
          <w:sz w:val="24"/>
        </w:rPr>
        <w:t xml:space="preserve">CMP328 </w:t>
      </w:r>
      <w:r>
        <w:rPr>
          <w:sz w:val="24"/>
        </w:rPr>
        <w:t xml:space="preserve">solution as written currently means a Generator or Demand customer </w:t>
      </w:r>
      <w:r w:rsidR="001F1AE9">
        <w:rPr>
          <w:sz w:val="24"/>
        </w:rPr>
        <w:t xml:space="preserve">applying to </w:t>
      </w:r>
      <w:r>
        <w:rPr>
          <w:sz w:val="24"/>
        </w:rPr>
        <w:t>connect a</w:t>
      </w:r>
      <w:r w:rsidR="00DC53B3">
        <w:rPr>
          <w:sz w:val="24"/>
        </w:rPr>
        <w:t xml:space="preserve"> qualifying asset</w:t>
      </w:r>
      <w:r w:rsidR="00F33E37">
        <w:rPr>
          <w:sz w:val="24"/>
        </w:rPr>
        <w:t xml:space="preserve"> (&gt;1MW)</w:t>
      </w:r>
      <w:r w:rsidR="00DC53B3">
        <w:rPr>
          <w:sz w:val="24"/>
        </w:rPr>
        <w:t xml:space="preserve"> to the system would trigger </w:t>
      </w:r>
      <w:r w:rsidR="00F33E37">
        <w:rPr>
          <w:sz w:val="24"/>
        </w:rPr>
        <w:t>the requirement for a</w:t>
      </w:r>
      <w:r w:rsidR="00DC53B3">
        <w:rPr>
          <w:sz w:val="24"/>
        </w:rPr>
        <w:t xml:space="preserve"> Distribution Impact Assessment</w:t>
      </w:r>
      <w:r w:rsidR="00F33E37">
        <w:rPr>
          <w:sz w:val="24"/>
        </w:rPr>
        <w:t>.</w:t>
      </w:r>
    </w:p>
    <w:p w14:paraId="0165C48E" w14:textId="3B1DA353" w:rsidR="00D55E79" w:rsidRDefault="00F33E37" w:rsidP="00196AA1">
      <w:pPr>
        <w:jc w:val="both"/>
        <w:rPr>
          <w:sz w:val="24"/>
        </w:rPr>
      </w:pPr>
      <w:proofErr w:type="gramStart"/>
      <w:r>
        <w:rPr>
          <w:sz w:val="24"/>
        </w:rPr>
        <w:t>However</w:t>
      </w:r>
      <w:proofErr w:type="gramEnd"/>
      <w:r>
        <w:rPr>
          <w:sz w:val="24"/>
        </w:rPr>
        <w:t xml:space="preserve"> if an IDNO, DNO, TO, OFTO o</w:t>
      </w:r>
      <w:r w:rsidR="001F1AE9">
        <w:rPr>
          <w:sz w:val="24"/>
        </w:rPr>
        <w:t xml:space="preserve">r Interconnector sought to connect </w:t>
      </w:r>
      <w:r w:rsidR="00EA29C5">
        <w:rPr>
          <w:sz w:val="24"/>
        </w:rPr>
        <w:t xml:space="preserve">a similar </w:t>
      </w:r>
      <w:r w:rsidR="00AC0ECF">
        <w:rPr>
          <w:sz w:val="24"/>
        </w:rPr>
        <w:t xml:space="preserve">qualifying </w:t>
      </w:r>
      <w:r w:rsidR="00EA29C5">
        <w:rPr>
          <w:sz w:val="24"/>
        </w:rPr>
        <w:t>asset at the same node, no DIA would be required</w:t>
      </w:r>
      <w:r w:rsidR="005A63C9">
        <w:rPr>
          <w:sz w:val="24"/>
        </w:rPr>
        <w:t>.</w:t>
      </w:r>
      <w:r w:rsidR="0042198C">
        <w:rPr>
          <w:sz w:val="24"/>
        </w:rPr>
        <w:t xml:space="preserve"> This alternative would apply the CMP328 Original solution requirements </w:t>
      </w:r>
      <w:r w:rsidR="00231A0E">
        <w:rPr>
          <w:sz w:val="24"/>
        </w:rPr>
        <w:t xml:space="preserve">equally </w:t>
      </w:r>
      <w:r w:rsidR="000F4CF7">
        <w:rPr>
          <w:sz w:val="24"/>
        </w:rPr>
        <w:t>to all new connections</w:t>
      </w:r>
      <w:r w:rsidR="00A33DD7">
        <w:rPr>
          <w:sz w:val="24"/>
        </w:rPr>
        <w:t xml:space="preserve"> (subject to the additional proposed change regarding applicability threshold below)</w:t>
      </w:r>
      <w:r w:rsidR="000F4CF7">
        <w:rPr>
          <w:sz w:val="24"/>
        </w:rPr>
        <w:t xml:space="preserve"> inclusive of these </w:t>
      </w:r>
      <w:r w:rsidR="00A33DD7">
        <w:rPr>
          <w:sz w:val="24"/>
        </w:rPr>
        <w:t>additional parties</w:t>
      </w:r>
      <w:r w:rsidR="003137B3">
        <w:rPr>
          <w:sz w:val="24"/>
        </w:rPr>
        <w:t>’ assets</w:t>
      </w:r>
      <w:r w:rsidR="000A4401">
        <w:rPr>
          <w:sz w:val="24"/>
        </w:rPr>
        <w:t xml:space="preserve"> and regardless of technology</w:t>
      </w:r>
      <w:r w:rsidR="002D1E32">
        <w:rPr>
          <w:sz w:val="24"/>
        </w:rPr>
        <w:t>.</w:t>
      </w:r>
    </w:p>
    <w:p w14:paraId="7B0F7A9F" w14:textId="40037310" w:rsidR="00475BAE" w:rsidRPr="005D67C7" w:rsidRDefault="005D67C7" w:rsidP="00196AA1">
      <w:pPr>
        <w:jc w:val="both"/>
        <w:rPr>
          <w:b/>
          <w:bCs/>
          <w:sz w:val="24"/>
        </w:rPr>
      </w:pPr>
      <w:r>
        <w:rPr>
          <w:b/>
          <w:bCs/>
          <w:sz w:val="24"/>
        </w:rPr>
        <w:t>Proposed Change</w:t>
      </w:r>
    </w:p>
    <w:p w14:paraId="224EB71E" w14:textId="5086A7F0" w:rsidR="007F6C6B" w:rsidRDefault="00CC2BF2" w:rsidP="3B866964">
      <w:pPr>
        <w:jc w:val="both"/>
        <w:rPr>
          <w:rFonts w:cs="Arial"/>
          <w:sz w:val="24"/>
        </w:rPr>
      </w:pPr>
      <w:r w:rsidRPr="3B866964">
        <w:rPr>
          <w:sz w:val="24"/>
        </w:rPr>
        <w:t xml:space="preserve">This proposed change </w:t>
      </w:r>
      <w:r w:rsidR="000F036B" w:rsidRPr="3B866964">
        <w:rPr>
          <w:rFonts w:cs="Arial"/>
          <w:sz w:val="24"/>
        </w:rPr>
        <w:t>seeks to address a concern about undue discrimination and thus ensure both a level playing field and that cost reflective charging is applied.</w:t>
      </w:r>
    </w:p>
    <w:p w14:paraId="5323AC39" w14:textId="5CE21E9D" w:rsidR="007F6C6B" w:rsidRDefault="0DBDAF38" w:rsidP="3B866964">
      <w:pPr>
        <w:jc w:val="both"/>
        <w:rPr>
          <w:sz w:val="24"/>
        </w:rPr>
      </w:pPr>
      <w:r w:rsidRPr="3B866964">
        <w:rPr>
          <w:sz w:val="24"/>
        </w:rPr>
        <w:t>The solution proposes that the DIA process will apply to all new connecting assets including but not limited to those owned (and possibly operated) by IDNOs, DNOs, TOs, OFTOs and Interconnectors (as well as those for generation and demand as per the Original).</w:t>
      </w:r>
    </w:p>
    <w:p w14:paraId="354860FF" w14:textId="19AAA6F5" w:rsidR="007F6C6B" w:rsidRDefault="000F036B" w:rsidP="3B866964">
      <w:pPr>
        <w:jc w:val="both"/>
        <w:rPr>
          <w:rFonts w:cs="Arial"/>
          <w:sz w:val="24"/>
        </w:rPr>
      </w:pPr>
      <w:r w:rsidRPr="3B866964">
        <w:rPr>
          <w:rFonts w:cs="Arial"/>
          <w:sz w:val="24"/>
        </w:rPr>
        <w:t xml:space="preserve"> </w:t>
      </w:r>
    </w:p>
    <w:p w14:paraId="567728DE" w14:textId="72E7454E" w:rsidR="009C5247" w:rsidRDefault="009C5247" w:rsidP="00196AA1">
      <w:pPr>
        <w:jc w:val="both"/>
        <w:rPr>
          <w:b/>
          <w:bCs/>
          <w:sz w:val="24"/>
        </w:rPr>
      </w:pPr>
      <w:r>
        <w:rPr>
          <w:b/>
          <w:bCs/>
          <w:sz w:val="24"/>
        </w:rPr>
        <w:t>Applicability Threshold</w:t>
      </w:r>
    </w:p>
    <w:p w14:paraId="4B2F86A7" w14:textId="5B73B275" w:rsidR="00196AA1" w:rsidRDefault="006052E7" w:rsidP="00196AA1">
      <w:pPr>
        <w:jc w:val="both"/>
        <w:rPr>
          <w:sz w:val="24"/>
        </w:rPr>
      </w:pPr>
      <w:r>
        <w:rPr>
          <w:sz w:val="24"/>
        </w:rPr>
        <w:t>CMP328 Workgroup discussions have resulted in a proposal of eligibility criteria</w:t>
      </w:r>
      <w:r w:rsidR="001F09D2">
        <w:rPr>
          <w:sz w:val="24"/>
        </w:rPr>
        <w:t xml:space="preserve"> for triggering the DIA process which is </w:t>
      </w:r>
      <w:r w:rsidR="00933D36">
        <w:rPr>
          <w:sz w:val="24"/>
        </w:rPr>
        <w:t>partially</w:t>
      </w:r>
      <w:r w:rsidR="001F09D2">
        <w:rPr>
          <w:sz w:val="24"/>
        </w:rPr>
        <w:t xml:space="preserve"> reflective of the existing Statement of Works process</w:t>
      </w:r>
      <w:r w:rsidR="00F85DCA">
        <w:rPr>
          <w:sz w:val="24"/>
        </w:rPr>
        <w:t>; a DIA would be triggered by</w:t>
      </w:r>
      <w:r w:rsidR="001F09D2">
        <w:rPr>
          <w:sz w:val="24"/>
        </w:rPr>
        <w:t xml:space="preserve"> projects exceeding 1MW import/export capacity which may have a material impact on the distribution network</w:t>
      </w:r>
      <w:r w:rsidR="00307C12">
        <w:rPr>
          <w:sz w:val="24"/>
        </w:rPr>
        <w:t>.</w:t>
      </w:r>
      <w:r w:rsidR="001F09D2">
        <w:rPr>
          <w:sz w:val="24"/>
        </w:rPr>
        <w:t xml:space="preserve"> </w:t>
      </w:r>
      <w:r w:rsidR="005E335D">
        <w:rPr>
          <w:sz w:val="24"/>
        </w:rPr>
        <w:t xml:space="preserve"> </w:t>
      </w:r>
    </w:p>
    <w:p w14:paraId="21EC6585" w14:textId="1DD4A62B" w:rsidR="0050615D" w:rsidRDefault="00973FCC" w:rsidP="008F4988">
      <w:pPr>
        <w:jc w:val="both"/>
        <w:rPr>
          <w:sz w:val="24"/>
        </w:rPr>
      </w:pPr>
      <w:r>
        <w:rPr>
          <w:sz w:val="24"/>
        </w:rPr>
        <w:t>This approach is not sufficient</w:t>
      </w:r>
      <w:r w:rsidR="001A22FC">
        <w:rPr>
          <w:sz w:val="24"/>
        </w:rPr>
        <w:t xml:space="preserve">, as it does not take into account the potential differences and resource requirements </w:t>
      </w:r>
      <w:r w:rsidR="007F7906">
        <w:rPr>
          <w:sz w:val="24"/>
        </w:rPr>
        <w:t>in terms of potential impact</w:t>
      </w:r>
      <w:r w:rsidR="008F4988">
        <w:rPr>
          <w:sz w:val="24"/>
        </w:rPr>
        <w:t xml:space="preserve"> of a new </w:t>
      </w:r>
      <w:proofErr w:type="spellStart"/>
      <w:r w:rsidR="008F4988">
        <w:rPr>
          <w:sz w:val="24"/>
        </w:rPr>
        <w:t>connectee</w:t>
      </w:r>
      <w:proofErr w:type="spellEnd"/>
      <w:r w:rsidR="008F4988">
        <w:rPr>
          <w:sz w:val="24"/>
        </w:rPr>
        <w:t xml:space="preserve">. </w:t>
      </w:r>
      <w:r w:rsidR="0050615D" w:rsidRPr="00064CF7">
        <w:rPr>
          <w:sz w:val="24"/>
        </w:rPr>
        <w:t xml:space="preserve">For example, a 50MW tertiary connection at a GSP is very different to a 1GW nuclear power station in terms of likely impact. It is unclear how an “affected DNO” is defined and therefore unclear how to assess which DNOs (beyond the immediate GSP connection location) should be contacted. </w:t>
      </w:r>
    </w:p>
    <w:p w14:paraId="5D0EEDF2" w14:textId="695FBC36" w:rsidR="00EC77F7" w:rsidRDefault="00EC77F7" w:rsidP="00EC77F7">
      <w:pPr>
        <w:jc w:val="both"/>
        <w:rPr>
          <w:sz w:val="24"/>
        </w:rPr>
      </w:pPr>
      <w:r>
        <w:rPr>
          <w:sz w:val="24"/>
        </w:rPr>
        <w:t>While thermal MW headroom considerations are a valuable, such values alone are a narrow representation of potential pinch-points</w:t>
      </w:r>
      <w:r w:rsidR="00DF3D4A">
        <w:rPr>
          <w:sz w:val="24"/>
        </w:rPr>
        <w:t>. DNO-specific issues should factor in, such as:</w:t>
      </w:r>
    </w:p>
    <w:p w14:paraId="1C0C4AEF" w14:textId="77777777" w:rsidR="005A219E" w:rsidRDefault="005A219E" w:rsidP="005A219E">
      <w:pPr>
        <w:pStyle w:val="ListParagraph"/>
        <w:numPr>
          <w:ilvl w:val="0"/>
          <w:numId w:val="3"/>
        </w:numPr>
        <w:jc w:val="both"/>
        <w:rPr>
          <w:sz w:val="24"/>
        </w:rPr>
      </w:pPr>
      <w:r>
        <w:rPr>
          <w:sz w:val="24"/>
        </w:rPr>
        <w:t>Fault rating headroom</w:t>
      </w:r>
    </w:p>
    <w:p w14:paraId="1EA38626" w14:textId="77777777" w:rsidR="005A219E" w:rsidRDefault="005A219E" w:rsidP="005A219E">
      <w:pPr>
        <w:pStyle w:val="ListParagraph"/>
        <w:numPr>
          <w:ilvl w:val="0"/>
          <w:numId w:val="3"/>
        </w:numPr>
        <w:jc w:val="both"/>
        <w:rPr>
          <w:sz w:val="24"/>
        </w:rPr>
      </w:pPr>
      <w:r>
        <w:rPr>
          <w:sz w:val="24"/>
        </w:rPr>
        <w:t>Thermal asset rating headroom</w:t>
      </w:r>
    </w:p>
    <w:p w14:paraId="28127924" w14:textId="04863C80" w:rsidR="004F1C89" w:rsidRPr="005530E6" w:rsidRDefault="004F1C89" w:rsidP="00F8077E">
      <w:pPr>
        <w:pStyle w:val="ListParagraph"/>
        <w:numPr>
          <w:ilvl w:val="0"/>
          <w:numId w:val="3"/>
        </w:numPr>
        <w:jc w:val="both"/>
        <w:rPr>
          <w:sz w:val="24"/>
        </w:rPr>
      </w:pPr>
      <w:r w:rsidRPr="005530E6">
        <w:rPr>
          <w:sz w:val="24"/>
        </w:rPr>
        <w:t>Power quality</w:t>
      </w:r>
      <w:r w:rsidR="005530E6">
        <w:rPr>
          <w:sz w:val="24"/>
        </w:rPr>
        <w:t>/h</w:t>
      </w:r>
      <w:r w:rsidRPr="005530E6">
        <w:rPr>
          <w:sz w:val="24"/>
        </w:rPr>
        <w:t>armonics</w:t>
      </w:r>
    </w:p>
    <w:p w14:paraId="6AC01A28" w14:textId="7F7A9A3E" w:rsidR="004F1C89" w:rsidRDefault="004F1C89" w:rsidP="00F8077E">
      <w:pPr>
        <w:pStyle w:val="ListParagraph"/>
        <w:numPr>
          <w:ilvl w:val="0"/>
          <w:numId w:val="3"/>
        </w:numPr>
        <w:jc w:val="both"/>
        <w:rPr>
          <w:sz w:val="24"/>
        </w:rPr>
      </w:pPr>
      <w:r>
        <w:rPr>
          <w:sz w:val="24"/>
        </w:rPr>
        <w:t xml:space="preserve">Voltage </w:t>
      </w:r>
      <w:r w:rsidR="00220E43">
        <w:rPr>
          <w:sz w:val="24"/>
        </w:rPr>
        <w:t>disturbance limits</w:t>
      </w:r>
    </w:p>
    <w:p w14:paraId="6DBA8E28" w14:textId="0A168880" w:rsidR="00D14303" w:rsidRDefault="00D14303" w:rsidP="00F8077E">
      <w:pPr>
        <w:pStyle w:val="ListParagraph"/>
        <w:numPr>
          <w:ilvl w:val="0"/>
          <w:numId w:val="3"/>
        </w:numPr>
        <w:jc w:val="both"/>
        <w:rPr>
          <w:sz w:val="24"/>
        </w:rPr>
      </w:pPr>
      <w:r>
        <w:rPr>
          <w:sz w:val="24"/>
        </w:rPr>
        <w:t>Reverse power flow issues</w:t>
      </w:r>
    </w:p>
    <w:p w14:paraId="496B205E" w14:textId="1A8FB7FA" w:rsidR="00E51919" w:rsidRDefault="00220E43" w:rsidP="00F8077E">
      <w:pPr>
        <w:pStyle w:val="ListParagraph"/>
        <w:numPr>
          <w:ilvl w:val="0"/>
          <w:numId w:val="3"/>
        </w:numPr>
        <w:jc w:val="both"/>
        <w:rPr>
          <w:sz w:val="24"/>
        </w:rPr>
      </w:pPr>
      <w:r>
        <w:rPr>
          <w:sz w:val="24"/>
        </w:rPr>
        <w:t xml:space="preserve">Potential </w:t>
      </w:r>
      <w:r w:rsidR="00E51919">
        <w:rPr>
          <w:sz w:val="24"/>
        </w:rPr>
        <w:t xml:space="preserve">ANM </w:t>
      </w:r>
      <w:r>
        <w:rPr>
          <w:sz w:val="24"/>
        </w:rPr>
        <w:t xml:space="preserve">scheme </w:t>
      </w:r>
      <w:r w:rsidR="00E51919">
        <w:rPr>
          <w:sz w:val="24"/>
        </w:rPr>
        <w:t>impacts</w:t>
      </w:r>
    </w:p>
    <w:p w14:paraId="1691AC58" w14:textId="4A57A8A7" w:rsidR="00902625" w:rsidRPr="00DF3D4A" w:rsidRDefault="00902625" w:rsidP="00F8077E">
      <w:pPr>
        <w:pStyle w:val="ListParagraph"/>
        <w:numPr>
          <w:ilvl w:val="0"/>
          <w:numId w:val="3"/>
        </w:numPr>
        <w:jc w:val="both"/>
        <w:rPr>
          <w:sz w:val="24"/>
        </w:rPr>
      </w:pPr>
      <w:r>
        <w:rPr>
          <w:sz w:val="24"/>
        </w:rPr>
        <w:t>Size of proposed connection in relation to existing demand/generation at that site</w:t>
      </w:r>
    </w:p>
    <w:p w14:paraId="188EE2C5" w14:textId="77777777" w:rsidR="00EC77F7" w:rsidRDefault="00EC77F7" w:rsidP="008F4988">
      <w:pPr>
        <w:jc w:val="both"/>
        <w:rPr>
          <w:sz w:val="24"/>
        </w:rPr>
      </w:pPr>
    </w:p>
    <w:p w14:paraId="6306DC4C" w14:textId="794F00D3" w:rsidR="000E0C3F" w:rsidRDefault="00C24EAE" w:rsidP="00DC117D">
      <w:pPr>
        <w:jc w:val="both"/>
        <w:rPr>
          <w:sz w:val="24"/>
        </w:rPr>
      </w:pPr>
      <w:r>
        <w:rPr>
          <w:sz w:val="24"/>
        </w:rPr>
        <w:lastRenderedPageBreak/>
        <w:t xml:space="preserve">Additionally, </w:t>
      </w:r>
      <w:r w:rsidR="00DC117D">
        <w:rPr>
          <w:sz w:val="24"/>
        </w:rPr>
        <w:t>th</w:t>
      </w:r>
      <w:r w:rsidR="00D95605">
        <w:rPr>
          <w:sz w:val="24"/>
        </w:rPr>
        <w:t>e Original as written</w:t>
      </w:r>
      <w:r w:rsidR="00DC117D">
        <w:rPr>
          <w:sz w:val="24"/>
        </w:rPr>
        <w:t xml:space="preserve"> would see significantly increased workloads for all parties. </w:t>
      </w:r>
      <w:r w:rsidR="00772AA3">
        <w:rPr>
          <w:sz w:val="24"/>
        </w:rPr>
        <w:t>For example</w:t>
      </w:r>
      <w:r w:rsidR="00DC117D">
        <w:rPr>
          <w:sz w:val="24"/>
        </w:rPr>
        <w:t xml:space="preserve">, </w:t>
      </w:r>
      <w:r w:rsidR="00772AA3">
        <w:rPr>
          <w:sz w:val="24"/>
        </w:rPr>
        <w:t>likely</w:t>
      </w:r>
      <w:r w:rsidR="00DC117D">
        <w:rPr>
          <w:sz w:val="24"/>
        </w:rPr>
        <w:t xml:space="preserve"> double-handling </w:t>
      </w:r>
      <w:r w:rsidR="000E0C3F">
        <w:rPr>
          <w:sz w:val="24"/>
        </w:rPr>
        <w:t>of contracts by TOs in response to DIA outcomes</w:t>
      </w:r>
      <w:r w:rsidR="00814CFD">
        <w:rPr>
          <w:sz w:val="24"/>
        </w:rPr>
        <w:t xml:space="preserve"> </w:t>
      </w:r>
      <w:r w:rsidR="00772AA3">
        <w:rPr>
          <w:sz w:val="24"/>
        </w:rPr>
        <w:t xml:space="preserve">– also </w:t>
      </w:r>
      <w:r w:rsidR="00814CFD">
        <w:rPr>
          <w:sz w:val="24"/>
        </w:rPr>
        <w:t>meaning additional fees for the applicant</w:t>
      </w:r>
      <w:r w:rsidR="009D2BF9">
        <w:rPr>
          <w:sz w:val="24"/>
        </w:rPr>
        <w:t xml:space="preserve"> – and DNOs</w:t>
      </w:r>
      <w:r w:rsidR="009F11B9">
        <w:rPr>
          <w:sz w:val="24"/>
        </w:rPr>
        <w:t xml:space="preserve"> being burdened with additional transmission referrals and deadline obligations.</w:t>
      </w:r>
      <w:r w:rsidR="007F2E11">
        <w:rPr>
          <w:sz w:val="24"/>
        </w:rPr>
        <w:t xml:space="preserve"> Many DIAs would be performed in regions where </w:t>
      </w:r>
      <w:r w:rsidR="00F01EB8">
        <w:rPr>
          <w:sz w:val="24"/>
        </w:rPr>
        <w:t>it is clear to a DNO</w:t>
      </w:r>
      <w:r w:rsidR="004D636B">
        <w:rPr>
          <w:sz w:val="24"/>
        </w:rPr>
        <w:t xml:space="preserve"> without the need for a DIA</w:t>
      </w:r>
      <w:r w:rsidR="00F01EB8">
        <w:rPr>
          <w:sz w:val="24"/>
        </w:rPr>
        <w:t xml:space="preserve"> that there will be no material impact at the given GSP</w:t>
      </w:r>
      <w:r w:rsidR="004D636B">
        <w:rPr>
          <w:sz w:val="24"/>
        </w:rPr>
        <w:t xml:space="preserve"> for the </w:t>
      </w:r>
      <w:r w:rsidR="00831237">
        <w:rPr>
          <w:sz w:val="24"/>
        </w:rPr>
        <w:t>connection application</w:t>
      </w:r>
      <w:r w:rsidR="000B33E5">
        <w:rPr>
          <w:sz w:val="24"/>
        </w:rPr>
        <w:t xml:space="preserve"> and so a blanket approach is inefficient for all parties</w:t>
      </w:r>
      <w:r w:rsidR="004D636B">
        <w:rPr>
          <w:sz w:val="24"/>
        </w:rPr>
        <w:t>.</w:t>
      </w:r>
    </w:p>
    <w:p w14:paraId="00731DB2" w14:textId="5AC136AA" w:rsidR="00E21F9D" w:rsidRPr="00801853" w:rsidRDefault="00A11E59" w:rsidP="00801853">
      <w:pPr>
        <w:jc w:val="both"/>
        <w:rPr>
          <w:sz w:val="24"/>
        </w:rPr>
      </w:pPr>
      <w:r>
        <w:rPr>
          <w:sz w:val="24"/>
        </w:rPr>
        <w:t>A</w:t>
      </w:r>
      <w:r w:rsidR="00444AAD" w:rsidRPr="00801853">
        <w:rPr>
          <w:sz w:val="24"/>
        </w:rPr>
        <w:t xml:space="preserve">pplying </w:t>
      </w:r>
      <w:r>
        <w:rPr>
          <w:sz w:val="24"/>
        </w:rPr>
        <w:t xml:space="preserve">the </w:t>
      </w:r>
      <w:r w:rsidR="00444AAD" w:rsidRPr="00801853">
        <w:rPr>
          <w:sz w:val="24"/>
        </w:rPr>
        <w:t xml:space="preserve">DIA process to all </w:t>
      </w:r>
      <w:r w:rsidR="007B57F4">
        <w:rPr>
          <w:sz w:val="24"/>
        </w:rPr>
        <w:t xml:space="preserve">applicable </w:t>
      </w:r>
      <w:r w:rsidR="00444AAD" w:rsidRPr="00801853">
        <w:rPr>
          <w:sz w:val="24"/>
        </w:rPr>
        <w:t xml:space="preserve">demand connections </w:t>
      </w:r>
      <w:r w:rsidR="007B57F4">
        <w:rPr>
          <w:sz w:val="24"/>
        </w:rPr>
        <w:t>also fails to ensure a</w:t>
      </w:r>
      <w:r w:rsidR="003620F4">
        <w:rPr>
          <w:sz w:val="24"/>
        </w:rPr>
        <w:t xml:space="preserve"> level playing field in that demand connections to</w:t>
      </w:r>
      <w:r w:rsidR="007B57F4">
        <w:rPr>
          <w:sz w:val="24"/>
        </w:rPr>
        <w:t xml:space="preserve"> </w:t>
      </w:r>
      <w:r w:rsidR="004A4620" w:rsidRPr="00801853">
        <w:rPr>
          <w:sz w:val="24"/>
        </w:rPr>
        <w:t xml:space="preserve">a DNO’s network have no need to make applications to NGESO to understand their impact on the transmission system, so it is unfair that a transmission demand connection would </w:t>
      </w:r>
      <w:r w:rsidR="00677F31" w:rsidRPr="00801853">
        <w:rPr>
          <w:sz w:val="24"/>
        </w:rPr>
        <w:t xml:space="preserve">have this burden placed on them. </w:t>
      </w:r>
    </w:p>
    <w:p w14:paraId="64043E73" w14:textId="77777777" w:rsidR="005D67C7" w:rsidRDefault="005D67C7" w:rsidP="00196AA1">
      <w:pPr>
        <w:jc w:val="both"/>
        <w:rPr>
          <w:sz w:val="24"/>
        </w:rPr>
      </w:pPr>
    </w:p>
    <w:p w14:paraId="5C65F88C" w14:textId="03E3FA8E" w:rsidR="005D67C7" w:rsidRPr="005D67C7" w:rsidRDefault="005D67C7" w:rsidP="00196AA1">
      <w:pPr>
        <w:jc w:val="both"/>
        <w:rPr>
          <w:b/>
          <w:bCs/>
          <w:sz w:val="24"/>
        </w:rPr>
      </w:pPr>
      <w:r>
        <w:rPr>
          <w:b/>
          <w:bCs/>
          <w:sz w:val="24"/>
        </w:rPr>
        <w:t>Proposed Change</w:t>
      </w:r>
    </w:p>
    <w:p w14:paraId="07A8FBBD" w14:textId="5E13598C" w:rsidR="0050615D" w:rsidRDefault="005413E4" w:rsidP="00196AA1">
      <w:pPr>
        <w:jc w:val="both"/>
        <w:rPr>
          <w:sz w:val="24"/>
        </w:rPr>
      </w:pPr>
      <w:r>
        <w:rPr>
          <w:sz w:val="24"/>
        </w:rPr>
        <w:t xml:space="preserve">NGESO believes a less general </w:t>
      </w:r>
      <w:r w:rsidR="005A3FCE">
        <w:rPr>
          <w:sz w:val="24"/>
        </w:rPr>
        <w:t xml:space="preserve">approach to any threshold is necessary – one which </w:t>
      </w:r>
      <w:r w:rsidR="00C45278">
        <w:rPr>
          <w:sz w:val="24"/>
        </w:rPr>
        <w:t>considers GSP-specific technical criteri</w:t>
      </w:r>
      <w:r w:rsidR="00CD69D3">
        <w:rPr>
          <w:sz w:val="24"/>
        </w:rPr>
        <w:t>a within the requirements</w:t>
      </w:r>
      <w:r w:rsidR="00F43DA2">
        <w:rPr>
          <w:sz w:val="24"/>
        </w:rPr>
        <w:t xml:space="preserve"> in order to address a wider range of potential constraints.</w:t>
      </w:r>
    </w:p>
    <w:p w14:paraId="3BCD7854" w14:textId="0B1CC4F8" w:rsidR="00646FB7" w:rsidRDefault="0089567E" w:rsidP="00196AA1">
      <w:pPr>
        <w:jc w:val="both"/>
        <w:rPr>
          <w:sz w:val="24"/>
        </w:rPr>
      </w:pPr>
      <w:r>
        <w:rPr>
          <w:sz w:val="24"/>
        </w:rPr>
        <w:t>It is not possible to include specific numbers and ranges for any given criteria within this proposal or the CUSC</w:t>
      </w:r>
      <w:r w:rsidR="009E4C9E">
        <w:rPr>
          <w:sz w:val="24"/>
        </w:rPr>
        <w:t xml:space="preserve"> as </w:t>
      </w:r>
      <w:r w:rsidR="00B62A9D">
        <w:rPr>
          <w:sz w:val="24"/>
        </w:rPr>
        <w:t xml:space="preserve">impact </w:t>
      </w:r>
      <w:r w:rsidR="009E4C9E">
        <w:rPr>
          <w:sz w:val="24"/>
        </w:rPr>
        <w:t>values will vary from GSP to GSP</w:t>
      </w:r>
      <w:r w:rsidR="00A54CB1">
        <w:rPr>
          <w:sz w:val="24"/>
        </w:rPr>
        <w:t>, however this proposal seeks to create a framework</w:t>
      </w:r>
      <w:r w:rsidR="001E51CC">
        <w:rPr>
          <w:sz w:val="24"/>
        </w:rPr>
        <w:t xml:space="preserve"> so that s</w:t>
      </w:r>
      <w:r w:rsidR="009E4C9E">
        <w:rPr>
          <w:sz w:val="24"/>
        </w:rPr>
        <w:t xml:space="preserve">uch figures would be agreed trilaterally between DNOs, NGESO, and </w:t>
      </w:r>
      <w:r w:rsidR="003F79BF">
        <w:rPr>
          <w:sz w:val="24"/>
        </w:rPr>
        <w:t xml:space="preserve">TOs on a per-GSP basis. </w:t>
      </w:r>
      <w:r w:rsidR="002F3F49">
        <w:rPr>
          <w:sz w:val="24"/>
        </w:rPr>
        <w:t>This could take the form of a live document hosted by NGESO, which is updated every 6 months</w:t>
      </w:r>
      <w:r w:rsidR="00883516">
        <w:rPr>
          <w:sz w:val="24"/>
        </w:rPr>
        <w:t xml:space="preserve"> </w:t>
      </w:r>
      <w:r w:rsidR="00A5075C">
        <w:rPr>
          <w:sz w:val="24"/>
        </w:rPr>
        <w:t>(</w:t>
      </w:r>
      <w:r w:rsidR="001E51CC">
        <w:rPr>
          <w:sz w:val="24"/>
        </w:rPr>
        <w:t xml:space="preserve">or </w:t>
      </w:r>
      <w:r w:rsidR="00A5075C">
        <w:rPr>
          <w:sz w:val="24"/>
        </w:rPr>
        <w:t>alternative</w:t>
      </w:r>
      <w:r w:rsidR="001E51CC">
        <w:rPr>
          <w:sz w:val="24"/>
        </w:rPr>
        <w:t xml:space="preserve"> agreed frequency</w:t>
      </w:r>
      <w:r w:rsidR="00A5075C">
        <w:rPr>
          <w:sz w:val="24"/>
        </w:rPr>
        <w:t>)</w:t>
      </w:r>
      <w:r w:rsidR="001E51CC">
        <w:rPr>
          <w:sz w:val="24"/>
        </w:rPr>
        <w:t xml:space="preserve"> </w:t>
      </w:r>
      <w:r w:rsidR="00883516">
        <w:rPr>
          <w:sz w:val="24"/>
        </w:rPr>
        <w:t xml:space="preserve">based on </w:t>
      </w:r>
      <w:r w:rsidR="00915088">
        <w:rPr>
          <w:sz w:val="24"/>
        </w:rPr>
        <w:t xml:space="preserve">data issued to NGESO by </w:t>
      </w:r>
      <w:r w:rsidR="00883516">
        <w:rPr>
          <w:sz w:val="24"/>
        </w:rPr>
        <w:t>the associated DNOs.</w:t>
      </w:r>
    </w:p>
    <w:p w14:paraId="5B496F58" w14:textId="08EF2638" w:rsidR="003F79BF" w:rsidRDefault="002D72B6" w:rsidP="00196AA1">
      <w:pPr>
        <w:jc w:val="both"/>
        <w:rPr>
          <w:sz w:val="24"/>
        </w:rPr>
      </w:pPr>
      <w:r>
        <w:rPr>
          <w:sz w:val="24"/>
        </w:rPr>
        <w:t>As such, NGESO proposes that this alternative is developed by the workgroup</w:t>
      </w:r>
      <w:r w:rsidR="003D5F62">
        <w:rPr>
          <w:sz w:val="24"/>
        </w:rPr>
        <w:t xml:space="preserve">. The process could include a </w:t>
      </w:r>
      <w:r w:rsidR="003866E9">
        <w:rPr>
          <w:sz w:val="24"/>
        </w:rPr>
        <w:t xml:space="preserve">one-off </w:t>
      </w:r>
      <w:r w:rsidR="003D5F62">
        <w:rPr>
          <w:sz w:val="24"/>
        </w:rPr>
        <w:t>Request for Information</w:t>
      </w:r>
      <w:r w:rsidR="002C370A">
        <w:rPr>
          <w:sz w:val="24"/>
        </w:rPr>
        <w:t xml:space="preserve"> (RFI)</w:t>
      </w:r>
      <w:r w:rsidR="003D5F62">
        <w:rPr>
          <w:sz w:val="24"/>
        </w:rPr>
        <w:t xml:space="preserve"> being </w:t>
      </w:r>
      <w:r w:rsidR="00145258">
        <w:rPr>
          <w:sz w:val="24"/>
        </w:rPr>
        <w:t>created, containing a list of key impact</w:t>
      </w:r>
      <w:r w:rsidR="00BD104E">
        <w:rPr>
          <w:sz w:val="24"/>
        </w:rPr>
        <w:t xml:space="preserve"> criteria</w:t>
      </w:r>
      <w:r w:rsidR="002C370A">
        <w:rPr>
          <w:sz w:val="24"/>
        </w:rPr>
        <w:t xml:space="preserve"> which </w:t>
      </w:r>
      <w:r w:rsidR="00BD104E">
        <w:rPr>
          <w:sz w:val="24"/>
        </w:rPr>
        <w:t>the workgroup</w:t>
      </w:r>
      <w:r w:rsidR="002C370A">
        <w:rPr>
          <w:sz w:val="24"/>
        </w:rPr>
        <w:t xml:space="preserve"> believe</w:t>
      </w:r>
      <w:r w:rsidR="00BD104E">
        <w:rPr>
          <w:sz w:val="24"/>
        </w:rPr>
        <w:t>s</w:t>
      </w:r>
      <w:r w:rsidR="002C370A">
        <w:rPr>
          <w:sz w:val="24"/>
        </w:rPr>
        <w:t xml:space="preserve"> would be logical to consider for the enduring solution. This</w:t>
      </w:r>
      <w:r w:rsidR="003D5F62">
        <w:rPr>
          <w:sz w:val="24"/>
        </w:rPr>
        <w:t xml:space="preserve"> </w:t>
      </w:r>
      <w:r w:rsidR="002C370A">
        <w:rPr>
          <w:sz w:val="24"/>
        </w:rPr>
        <w:t>RFI would be</w:t>
      </w:r>
      <w:r w:rsidR="003D5F62">
        <w:rPr>
          <w:sz w:val="24"/>
        </w:rPr>
        <w:t xml:space="preserve"> issued to the DNOs </w:t>
      </w:r>
      <w:r w:rsidR="006879B0">
        <w:rPr>
          <w:sz w:val="24"/>
        </w:rPr>
        <w:t xml:space="preserve">to gather </w:t>
      </w:r>
      <w:r w:rsidR="002C370A">
        <w:rPr>
          <w:sz w:val="24"/>
        </w:rPr>
        <w:t>feedback on the proposed c</w:t>
      </w:r>
      <w:r w:rsidR="006879B0">
        <w:rPr>
          <w:sz w:val="24"/>
        </w:rPr>
        <w:t>riteria</w:t>
      </w:r>
      <w:r w:rsidR="00C03884">
        <w:rPr>
          <w:sz w:val="24"/>
        </w:rPr>
        <w:t xml:space="preserve"> and timeline for updating </w:t>
      </w:r>
      <w:r w:rsidR="00014880">
        <w:rPr>
          <w:sz w:val="24"/>
        </w:rPr>
        <w:t>GSP-specific figures</w:t>
      </w:r>
      <w:r w:rsidR="006879B0">
        <w:rPr>
          <w:sz w:val="24"/>
        </w:rPr>
        <w:t xml:space="preserve">. </w:t>
      </w:r>
      <w:r w:rsidR="00FF5251">
        <w:rPr>
          <w:sz w:val="24"/>
        </w:rPr>
        <w:t xml:space="preserve">The resulting modification would </w:t>
      </w:r>
      <w:r w:rsidR="00B62A9D">
        <w:rPr>
          <w:sz w:val="24"/>
        </w:rPr>
        <w:t xml:space="preserve">include </w:t>
      </w:r>
      <w:r w:rsidR="00E55E94">
        <w:rPr>
          <w:sz w:val="24"/>
        </w:rPr>
        <w:t xml:space="preserve">a single </w:t>
      </w:r>
      <w:r w:rsidR="00B62A9D">
        <w:rPr>
          <w:sz w:val="24"/>
        </w:rPr>
        <w:t xml:space="preserve">agreed list of </w:t>
      </w:r>
      <w:r w:rsidR="000F777F">
        <w:rPr>
          <w:sz w:val="24"/>
        </w:rPr>
        <w:t>criteria</w:t>
      </w:r>
      <w:r w:rsidR="00C43CB9">
        <w:rPr>
          <w:sz w:val="24"/>
        </w:rPr>
        <w:t xml:space="preserve"> encompassing all DNOs</w:t>
      </w:r>
      <w:r w:rsidR="00C03884">
        <w:rPr>
          <w:sz w:val="24"/>
        </w:rPr>
        <w:t xml:space="preserve">, the </w:t>
      </w:r>
      <w:r w:rsidR="00014880">
        <w:rPr>
          <w:sz w:val="24"/>
        </w:rPr>
        <w:t xml:space="preserve">timeline for updating </w:t>
      </w:r>
      <w:r w:rsidR="00A95118">
        <w:rPr>
          <w:sz w:val="24"/>
        </w:rPr>
        <w:t xml:space="preserve">the GSP-specific figures, </w:t>
      </w:r>
      <w:r w:rsidR="0018346C">
        <w:rPr>
          <w:sz w:val="24"/>
        </w:rPr>
        <w:t xml:space="preserve">and confirmation </w:t>
      </w:r>
      <w:r w:rsidR="008D6B4D">
        <w:rPr>
          <w:sz w:val="24"/>
        </w:rPr>
        <w:t>of the DIA process only being triggered based on th</w:t>
      </w:r>
      <w:r w:rsidR="00972354">
        <w:rPr>
          <w:sz w:val="24"/>
        </w:rPr>
        <w:t>e live GSP-specific criteria</w:t>
      </w:r>
      <w:r w:rsidR="00C43CB9">
        <w:rPr>
          <w:sz w:val="24"/>
        </w:rPr>
        <w:t xml:space="preserve"> thresholds</w:t>
      </w:r>
      <w:r w:rsidR="00972354">
        <w:rPr>
          <w:sz w:val="24"/>
        </w:rPr>
        <w:t xml:space="preserve"> being</w:t>
      </w:r>
      <w:r w:rsidR="00C43CB9">
        <w:rPr>
          <w:sz w:val="24"/>
        </w:rPr>
        <w:t xml:space="preserve"> met and/or surpassed by a given connection application</w:t>
      </w:r>
      <w:r w:rsidR="00FB2AD2">
        <w:rPr>
          <w:sz w:val="24"/>
        </w:rPr>
        <w:t xml:space="preserve"> (including Mod</w:t>
      </w:r>
      <w:r w:rsidR="002979BE">
        <w:rPr>
          <w:sz w:val="24"/>
        </w:rPr>
        <w:t xml:space="preserve">ification </w:t>
      </w:r>
      <w:r w:rsidR="00FB2AD2">
        <w:rPr>
          <w:sz w:val="24"/>
        </w:rPr>
        <w:t>App</w:t>
      </w:r>
      <w:r w:rsidR="002979BE">
        <w:rPr>
          <w:sz w:val="24"/>
        </w:rPr>
        <w:t>lication</w:t>
      </w:r>
      <w:r w:rsidR="00FB2AD2">
        <w:rPr>
          <w:sz w:val="24"/>
        </w:rPr>
        <w:t>s)</w:t>
      </w:r>
      <w:r w:rsidR="006A7C1F">
        <w:rPr>
          <w:sz w:val="24"/>
        </w:rPr>
        <w:t>.</w:t>
      </w:r>
    </w:p>
    <w:p w14:paraId="2ED9C8FA" w14:textId="77777777" w:rsidR="00196AA1" w:rsidRPr="00D642F4" w:rsidRDefault="00196AA1" w:rsidP="00196AA1">
      <w:pPr>
        <w:jc w:val="both"/>
        <w:rPr>
          <w:sz w:val="24"/>
        </w:rPr>
      </w:pPr>
    </w:p>
    <w:p w14:paraId="6785478B" w14:textId="77777777" w:rsidR="004930C4" w:rsidRDefault="004930C4" w:rsidP="000B6ADA">
      <w:pPr>
        <w:jc w:val="both"/>
        <w:rPr>
          <w:sz w:val="24"/>
        </w:rPr>
      </w:pPr>
    </w:p>
    <w:p w14:paraId="24E8AD05" w14:textId="43033FE2" w:rsidR="00777B44" w:rsidRPr="00313B1D" w:rsidRDefault="00777B44" w:rsidP="00E4032A">
      <w:pPr>
        <w:pStyle w:val="Style3"/>
      </w:pPr>
      <w:r w:rsidRPr="00313B1D">
        <w:t>What is the difference between this and the Original Proposal?</w:t>
      </w:r>
    </w:p>
    <w:p w14:paraId="24205ED6" w14:textId="7931157A" w:rsidR="0070618D" w:rsidRDefault="0070618D" w:rsidP="0070618D">
      <w:pPr>
        <w:spacing w:before="0" w:after="0" w:line="240" w:lineRule="auto"/>
        <w:jc w:val="both"/>
        <w:textAlignment w:val="baseline"/>
        <w:rPr>
          <w:rFonts w:cs="Arial"/>
          <w:sz w:val="24"/>
        </w:rPr>
      </w:pPr>
      <w:r>
        <w:rPr>
          <w:rFonts w:cs="Arial"/>
          <w:sz w:val="24"/>
        </w:rPr>
        <w:t>It applies the Original solution to new connections for IDNOs, DNOs, TOs, OFTOs and interconnectors (as well as to new connections for Generation and Demand).</w:t>
      </w:r>
    </w:p>
    <w:p w14:paraId="6B11D524" w14:textId="262AAE9B" w:rsidR="00E91399" w:rsidRDefault="00E91399" w:rsidP="0070618D">
      <w:pPr>
        <w:spacing w:before="0" w:after="0" w:line="240" w:lineRule="auto"/>
        <w:jc w:val="both"/>
        <w:textAlignment w:val="baseline"/>
        <w:rPr>
          <w:rFonts w:cs="Arial"/>
          <w:sz w:val="24"/>
        </w:rPr>
      </w:pPr>
    </w:p>
    <w:p w14:paraId="4E7932C5" w14:textId="12E400A7" w:rsidR="00E91399" w:rsidRDefault="00E91399" w:rsidP="0070618D">
      <w:pPr>
        <w:spacing w:before="0" w:after="0" w:line="240" w:lineRule="auto"/>
        <w:jc w:val="both"/>
        <w:textAlignment w:val="baseline"/>
        <w:rPr>
          <w:rFonts w:cs="Arial"/>
          <w:sz w:val="24"/>
        </w:rPr>
      </w:pPr>
      <w:r>
        <w:rPr>
          <w:rFonts w:cs="Arial"/>
          <w:sz w:val="24"/>
        </w:rPr>
        <w:t xml:space="preserve">It also </w:t>
      </w:r>
      <w:r w:rsidR="002D3591">
        <w:rPr>
          <w:rFonts w:cs="Arial"/>
          <w:sz w:val="24"/>
        </w:rPr>
        <w:t xml:space="preserve">introduces a more appropriate </w:t>
      </w:r>
      <w:r w:rsidR="0009445F">
        <w:rPr>
          <w:rFonts w:cs="Arial"/>
          <w:sz w:val="24"/>
        </w:rPr>
        <w:t>approach to define</w:t>
      </w:r>
      <w:r w:rsidR="002D3591">
        <w:rPr>
          <w:rFonts w:cs="Arial"/>
          <w:sz w:val="24"/>
        </w:rPr>
        <w:t xml:space="preserve"> when a DIA is triggered</w:t>
      </w:r>
      <w:r w:rsidR="00334930">
        <w:rPr>
          <w:rFonts w:cs="Arial"/>
          <w:sz w:val="24"/>
        </w:rPr>
        <w:t xml:space="preserve">, minimising administrative burden and additional cost implications for </w:t>
      </w:r>
      <w:r w:rsidR="007F2E11">
        <w:rPr>
          <w:rFonts w:cs="Arial"/>
          <w:sz w:val="24"/>
        </w:rPr>
        <w:t>industry and the consumer</w:t>
      </w:r>
      <w:r w:rsidR="002D3591">
        <w:rPr>
          <w:rFonts w:cs="Arial"/>
          <w:sz w:val="24"/>
        </w:rPr>
        <w:t>.</w:t>
      </w:r>
    </w:p>
    <w:p w14:paraId="219D6BD7" w14:textId="7BA0B32E" w:rsidR="004930C4" w:rsidRDefault="004930C4" w:rsidP="00F60A51">
      <w:pPr>
        <w:spacing w:before="0" w:after="0" w:line="240" w:lineRule="auto"/>
        <w:jc w:val="both"/>
        <w:textAlignment w:val="baseline"/>
        <w:rPr>
          <w:rFonts w:cs="Arial"/>
          <w:sz w:val="24"/>
        </w:rPr>
      </w:pPr>
    </w:p>
    <w:p w14:paraId="5F06E3F8" w14:textId="26648F77" w:rsidR="0070618D" w:rsidRDefault="0070618D" w:rsidP="00F60A51">
      <w:pPr>
        <w:spacing w:before="0" w:after="0" w:line="240" w:lineRule="auto"/>
        <w:jc w:val="both"/>
        <w:textAlignment w:val="baseline"/>
        <w:rPr>
          <w:rFonts w:cs="Arial"/>
          <w:sz w:val="24"/>
        </w:rPr>
      </w:pPr>
    </w:p>
    <w:p w14:paraId="7AE0910F" w14:textId="4AB3582B" w:rsidR="0070618D" w:rsidRDefault="0070618D" w:rsidP="00F60A51">
      <w:pPr>
        <w:spacing w:before="0" w:after="0" w:line="240" w:lineRule="auto"/>
        <w:jc w:val="both"/>
        <w:textAlignment w:val="baseline"/>
        <w:rPr>
          <w:rFonts w:cs="Arial"/>
          <w:sz w:val="24"/>
        </w:rPr>
      </w:pPr>
    </w:p>
    <w:p w14:paraId="5D4A51FF" w14:textId="07387E74" w:rsidR="001D50E3" w:rsidRDefault="001D50E3" w:rsidP="00F60A51">
      <w:pPr>
        <w:spacing w:before="0" w:after="0" w:line="240" w:lineRule="auto"/>
        <w:jc w:val="both"/>
        <w:textAlignment w:val="baseline"/>
        <w:rPr>
          <w:rFonts w:cs="Arial"/>
          <w:sz w:val="24"/>
        </w:rPr>
      </w:pPr>
    </w:p>
    <w:p w14:paraId="1D57E150" w14:textId="77777777" w:rsidR="001D50E3" w:rsidRDefault="001D50E3" w:rsidP="00F60A51">
      <w:pPr>
        <w:spacing w:before="0" w:after="0" w:line="240" w:lineRule="auto"/>
        <w:jc w:val="both"/>
        <w:textAlignment w:val="baseline"/>
        <w:rPr>
          <w:rFonts w:cs="Arial"/>
          <w:sz w:val="24"/>
        </w:rPr>
      </w:pPr>
    </w:p>
    <w:p w14:paraId="5560346E" w14:textId="1427AB2A" w:rsidR="002B5ADD" w:rsidRPr="006277B0" w:rsidRDefault="00625705" w:rsidP="006277B0">
      <w:pPr>
        <w:pStyle w:val="Style4"/>
        <w:rPr>
          <w:color w:val="000000"/>
          <w:sz w:val="24"/>
          <w:lang w:eastAsia="en-US"/>
        </w:rPr>
      </w:pPr>
      <w:r w:rsidRPr="00663B2B">
        <w:lastRenderedPageBreak/>
        <w:t xml:space="preserve">What is the impact of this </w:t>
      </w:r>
      <w:r w:rsidRPr="00976D98">
        <w:t>change</w:t>
      </w:r>
      <w:r w:rsidRPr="00663B2B">
        <w:t>?</w:t>
      </w:r>
    </w:p>
    <w:p w14:paraId="46B54005" w14:textId="77777777" w:rsidR="002D3591" w:rsidRDefault="002D3591" w:rsidP="000B6ADA">
      <w:pPr>
        <w:pStyle w:val="ListParagraph"/>
        <w:keepLines/>
        <w:widowControl w:val="0"/>
        <w:tabs>
          <w:tab w:val="left" w:pos="1418"/>
        </w:tabs>
        <w:spacing w:before="0" w:line="264" w:lineRule="auto"/>
        <w:ind w:left="0"/>
        <w:rPr>
          <w:rFonts w:cs="Arial"/>
          <w:b/>
          <w:bCs/>
          <w:color w:val="F26522" w:themeColor="accent1"/>
          <w:kern w:val="32"/>
          <w:sz w:val="24"/>
        </w:rPr>
      </w:pPr>
    </w:p>
    <w:tbl>
      <w:tblPr>
        <w:tblpPr w:leftFromText="180" w:rightFromText="180" w:vertAnchor="text" w:horzAnchor="margin" w:tblpY="49"/>
        <w:tblOverlap w:val="never"/>
        <w:tblW w:w="920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2731"/>
      </w:tblGrid>
      <w:tr w:rsidR="00AC159B" w:rsidRPr="00314414" w14:paraId="3B15CD65" w14:textId="77777777" w:rsidTr="006371ED">
        <w:trPr>
          <w:trHeight w:hRule="exact" w:val="561"/>
        </w:trPr>
        <w:tc>
          <w:tcPr>
            <w:tcW w:w="9209" w:type="dxa"/>
            <w:gridSpan w:val="2"/>
            <w:shd w:val="clear" w:color="auto" w:fill="F26522" w:themeFill="accent1"/>
            <w:vAlign w:val="center"/>
          </w:tcPr>
          <w:p w14:paraId="020CAB57" w14:textId="3BE0FC6B" w:rsidR="00AC159B" w:rsidRPr="00314414" w:rsidRDefault="000B6ADA" w:rsidP="006371ED">
            <w:pPr>
              <w:pStyle w:val="TableHeading"/>
              <w:rPr>
                <w:rFonts w:cs="Arial"/>
                <w:b/>
                <w:szCs w:val="20"/>
              </w:rPr>
            </w:pPr>
            <w:r w:rsidRPr="000B6ADA">
              <w:rPr>
                <w:rFonts w:cs="Arial"/>
                <w:b/>
                <w:color w:val="FFFFFF" w:themeColor="background1"/>
                <w:sz w:val="24"/>
                <w:szCs w:val="20"/>
              </w:rPr>
              <w:t>Proposer’s Assessment against C</w:t>
            </w:r>
            <w:r>
              <w:rPr>
                <w:rFonts w:cs="Arial"/>
                <w:b/>
                <w:color w:val="FFFFFF" w:themeColor="background1"/>
                <w:sz w:val="24"/>
                <w:szCs w:val="20"/>
              </w:rPr>
              <w:t>USC Non-Charging</w:t>
            </w:r>
            <w:r w:rsidRPr="000B6ADA">
              <w:rPr>
                <w:rFonts w:cs="Arial"/>
                <w:b/>
                <w:color w:val="FFFFFF" w:themeColor="background1"/>
                <w:sz w:val="24"/>
                <w:szCs w:val="20"/>
              </w:rPr>
              <w:t xml:space="preserve"> Objectives  </w:t>
            </w:r>
          </w:p>
        </w:tc>
      </w:tr>
      <w:tr w:rsidR="00AC159B" w:rsidRPr="006A726B" w14:paraId="6FDF0090" w14:textId="77777777" w:rsidTr="00AC159B">
        <w:trPr>
          <w:trHeight w:val="397"/>
        </w:trPr>
        <w:tc>
          <w:tcPr>
            <w:tcW w:w="6478" w:type="dxa"/>
          </w:tcPr>
          <w:p w14:paraId="4E757CA7" w14:textId="77777777" w:rsidR="00AC159B" w:rsidRPr="006A726B" w:rsidRDefault="00AC159B" w:rsidP="006371ED">
            <w:pPr>
              <w:ind w:left="113" w:right="113"/>
              <w:rPr>
                <w:rFonts w:cs="Arial"/>
                <w:b/>
                <w:sz w:val="24"/>
                <w:szCs w:val="20"/>
              </w:rPr>
            </w:pPr>
            <w:r w:rsidRPr="006A726B">
              <w:rPr>
                <w:b/>
                <w:sz w:val="24"/>
                <w:szCs w:val="20"/>
              </w:rPr>
              <w:t>Relevant Objective</w:t>
            </w:r>
          </w:p>
        </w:tc>
        <w:tc>
          <w:tcPr>
            <w:tcW w:w="2731" w:type="dxa"/>
          </w:tcPr>
          <w:p w14:paraId="0C3BDECC" w14:textId="77777777" w:rsidR="00AC159B" w:rsidRPr="006A726B" w:rsidRDefault="00AC159B" w:rsidP="006371ED">
            <w:pPr>
              <w:ind w:left="113" w:right="113"/>
              <w:rPr>
                <w:b/>
                <w:sz w:val="24"/>
                <w:szCs w:val="20"/>
              </w:rPr>
            </w:pPr>
            <w:r w:rsidRPr="006A726B">
              <w:rPr>
                <w:b/>
                <w:sz w:val="24"/>
                <w:szCs w:val="20"/>
              </w:rPr>
              <w:t>Identified impact</w:t>
            </w:r>
          </w:p>
        </w:tc>
      </w:tr>
      <w:tr w:rsidR="000B6FBD" w:rsidRPr="006A726B" w14:paraId="7DB47E0B" w14:textId="77777777" w:rsidTr="00AC159B">
        <w:trPr>
          <w:trHeight w:val="397"/>
        </w:trPr>
        <w:tc>
          <w:tcPr>
            <w:tcW w:w="6478" w:type="dxa"/>
          </w:tcPr>
          <w:p w14:paraId="592586F4"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(a)</w:t>
            </w:r>
            <w:r w:rsidRPr="00BD5234">
              <w:rPr>
                <w:rFonts w:cs="Arial"/>
                <w:color w:val="auto"/>
                <w:sz w:val="24"/>
              </w:rPr>
              <w:tab/>
              <w:t>The efficient discharge by the Licensee of the obligations imposed on it by the Act and the Transmission Licence;</w:t>
            </w:r>
          </w:p>
        </w:tc>
        <w:tc>
          <w:tcPr>
            <w:tcW w:w="2731" w:type="dxa"/>
          </w:tcPr>
          <w:p w14:paraId="0FB71530" w14:textId="0F855E98" w:rsidR="000B6FBD" w:rsidRPr="000F29B6" w:rsidRDefault="000B6FBD" w:rsidP="000B6FBD">
            <w:pPr>
              <w:spacing w:before="40"/>
              <w:ind w:left="113"/>
              <w:rPr>
                <w:sz w:val="24"/>
                <w:szCs w:val="20"/>
              </w:rPr>
            </w:pPr>
            <w:r w:rsidRPr="000F29B6">
              <w:rPr>
                <w:b/>
                <w:sz w:val="24"/>
              </w:rPr>
              <w:t>Positive:</w:t>
            </w:r>
            <w:r w:rsidRPr="000F29B6">
              <w:rPr>
                <w:sz w:val="24"/>
              </w:rPr>
              <w:t xml:space="preserve"> </w:t>
            </w:r>
            <w:r w:rsidR="00672518" w:rsidRPr="000F29B6">
              <w:rPr>
                <w:sz w:val="24"/>
              </w:rPr>
              <w:t xml:space="preserve">Per Original, plus </w:t>
            </w:r>
            <w:r w:rsidR="00766887" w:rsidRPr="000F29B6">
              <w:rPr>
                <w:sz w:val="24"/>
              </w:rPr>
              <w:t>discharging licence obligations in a non-discriminatory and more efficient manner</w:t>
            </w:r>
          </w:p>
        </w:tc>
      </w:tr>
      <w:tr w:rsidR="000B6FBD" w:rsidRPr="006A726B" w14:paraId="50E6A3C0" w14:textId="77777777" w:rsidTr="00AC159B">
        <w:trPr>
          <w:trHeight w:val="397"/>
        </w:trPr>
        <w:tc>
          <w:tcPr>
            <w:tcW w:w="6478" w:type="dxa"/>
          </w:tcPr>
          <w:p w14:paraId="10546143"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(b)</w:t>
            </w:r>
            <w:r w:rsidRPr="00BD5234">
              <w:rPr>
                <w:rFonts w:cs="Arial"/>
                <w:color w:val="auto"/>
                <w:sz w:val="24"/>
              </w:rPr>
              <w:tab/>
              <w:t>Facilitating effective competition in the generation and supply of electricity, and (so far as consistent therewith) facilitating such competition in the sale, distribution and purchase of electricity;</w:t>
            </w:r>
          </w:p>
        </w:tc>
        <w:tc>
          <w:tcPr>
            <w:tcW w:w="2731" w:type="dxa"/>
          </w:tcPr>
          <w:p w14:paraId="10240529" w14:textId="55291D39" w:rsidR="000B6FBD" w:rsidRPr="000F29B6" w:rsidRDefault="000B6FBD" w:rsidP="000B6FBD">
            <w:pPr>
              <w:spacing w:before="40"/>
              <w:ind w:left="113" w:right="113"/>
              <w:rPr>
                <w:sz w:val="24"/>
                <w:szCs w:val="20"/>
              </w:rPr>
            </w:pPr>
            <w:r w:rsidRPr="000F29B6">
              <w:rPr>
                <w:b/>
                <w:sz w:val="24"/>
              </w:rPr>
              <w:t>Positive:</w:t>
            </w:r>
            <w:r w:rsidRPr="000F29B6">
              <w:rPr>
                <w:sz w:val="24"/>
              </w:rPr>
              <w:t xml:space="preserve"> </w:t>
            </w:r>
            <w:r w:rsidR="00740880" w:rsidRPr="000F29B6">
              <w:rPr>
                <w:sz w:val="24"/>
              </w:rPr>
              <w:t xml:space="preserve">Per Original, plus </w:t>
            </w:r>
            <w:r w:rsidR="00915B7C" w:rsidRPr="000F29B6">
              <w:rPr>
                <w:sz w:val="24"/>
              </w:rPr>
              <w:t xml:space="preserve">more level playing field of connecting asset types, and </w:t>
            </w:r>
            <w:r w:rsidR="00FB47ED" w:rsidRPr="000F29B6">
              <w:rPr>
                <w:sz w:val="24"/>
              </w:rPr>
              <w:t>not needlessly burdensome on DNOs or connecting parties which have no material impact on network.</w:t>
            </w:r>
          </w:p>
        </w:tc>
      </w:tr>
      <w:tr w:rsidR="000B6FBD" w:rsidRPr="006A726B" w14:paraId="34F24340" w14:textId="77777777" w:rsidTr="00AC159B">
        <w:trPr>
          <w:trHeight w:val="397"/>
        </w:trPr>
        <w:tc>
          <w:tcPr>
            <w:tcW w:w="6478" w:type="dxa"/>
          </w:tcPr>
          <w:p w14:paraId="3B24DCE2"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(c)</w:t>
            </w:r>
            <w:r w:rsidRPr="00BD5234">
              <w:rPr>
                <w:rFonts w:cs="Arial"/>
                <w:color w:val="auto"/>
                <w:sz w:val="24"/>
              </w:rPr>
              <w:tab/>
              <w:t>Compliance with the Electricity Regulation and any relevant legally binding decision of the European Commission and/or the Agency *; and</w:t>
            </w:r>
          </w:p>
        </w:tc>
        <w:tc>
          <w:tcPr>
            <w:tcW w:w="2731" w:type="dxa"/>
          </w:tcPr>
          <w:p w14:paraId="103AA5AB" w14:textId="4BC819B0" w:rsidR="000B6FBD" w:rsidRPr="000F29B6" w:rsidRDefault="000B6FBD" w:rsidP="000B6FBD">
            <w:pPr>
              <w:spacing w:before="40"/>
              <w:ind w:left="113" w:right="113"/>
              <w:rPr>
                <w:sz w:val="24"/>
                <w:szCs w:val="20"/>
              </w:rPr>
            </w:pPr>
            <w:r w:rsidRPr="000F29B6">
              <w:rPr>
                <w:b/>
                <w:sz w:val="24"/>
              </w:rPr>
              <w:t>None:</w:t>
            </w:r>
            <w:r w:rsidRPr="000F29B6">
              <w:rPr>
                <w:sz w:val="24"/>
              </w:rPr>
              <w:t xml:space="preserve"> </w:t>
            </w:r>
            <w:r w:rsidR="000F29B6" w:rsidRPr="000F29B6">
              <w:rPr>
                <w:sz w:val="24"/>
              </w:rPr>
              <w:t xml:space="preserve"> Ensures that the obligations placed upon the TSOs and DSOs within the Third Package and Clean Energy Package (as transposed into retained UK law) in respect of acting in a none discriminatory manner and applying cost reflective charges is complied with</w:t>
            </w:r>
          </w:p>
        </w:tc>
      </w:tr>
      <w:tr w:rsidR="000B6FBD" w:rsidRPr="006A726B" w14:paraId="1F3D76F1" w14:textId="77777777" w:rsidTr="00AC159B">
        <w:trPr>
          <w:trHeight w:val="397"/>
        </w:trPr>
        <w:tc>
          <w:tcPr>
            <w:tcW w:w="6478" w:type="dxa"/>
          </w:tcPr>
          <w:p w14:paraId="4D0AB595"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(d) Promoting efficiency in the implementation and administration of the CUSC arrangements.</w:t>
            </w:r>
          </w:p>
        </w:tc>
        <w:tc>
          <w:tcPr>
            <w:tcW w:w="2731" w:type="dxa"/>
          </w:tcPr>
          <w:p w14:paraId="2EE4EBF9" w14:textId="298B1ED8" w:rsidR="000B6FBD" w:rsidRPr="00196AA1" w:rsidRDefault="000B6FBD" w:rsidP="000B6FBD">
            <w:pPr>
              <w:spacing w:before="40"/>
              <w:ind w:left="113" w:right="113"/>
              <w:rPr>
                <w:sz w:val="24"/>
                <w:szCs w:val="20"/>
                <w:highlight w:val="yellow"/>
              </w:rPr>
            </w:pPr>
            <w:r w:rsidRPr="00B86248">
              <w:rPr>
                <w:b/>
                <w:sz w:val="24"/>
              </w:rPr>
              <w:t>Positive:</w:t>
            </w:r>
            <w:r w:rsidRPr="00B86248">
              <w:rPr>
                <w:sz w:val="24"/>
              </w:rPr>
              <w:t xml:space="preserve"> </w:t>
            </w:r>
            <w:r w:rsidR="00B86248" w:rsidRPr="00B86248">
              <w:rPr>
                <w:sz w:val="24"/>
              </w:rPr>
              <w:t>Ensures no needlessly burdensome additional administrative processes or diversion of resource</w:t>
            </w:r>
          </w:p>
        </w:tc>
      </w:tr>
      <w:tr w:rsidR="00AC159B" w:rsidRPr="006A726B" w14:paraId="2DD31E56" w14:textId="77777777" w:rsidTr="003D547B">
        <w:trPr>
          <w:trHeight w:val="397"/>
        </w:trPr>
        <w:tc>
          <w:tcPr>
            <w:tcW w:w="9209" w:type="dxa"/>
            <w:gridSpan w:val="2"/>
          </w:tcPr>
          <w:p w14:paraId="1408B9F8" w14:textId="77777777" w:rsidR="00AC159B" w:rsidRPr="006A726B" w:rsidRDefault="00AC159B" w:rsidP="006371ED">
            <w:pPr>
              <w:spacing w:before="40"/>
              <w:ind w:left="113" w:right="113"/>
              <w:rPr>
                <w:sz w:val="24"/>
                <w:szCs w:val="20"/>
              </w:rPr>
            </w:pPr>
            <w:r w:rsidRPr="00BD5234">
              <w:rPr>
                <w:rFonts w:cs="Arial"/>
                <w:sz w:val="24"/>
              </w:rPr>
              <w:t>*Objective (c) refers specifically to European Regulation 2009/714/EC. Reference to the Agency is to the Agency for the Cooperation of Energy Regulators (ACER).</w:t>
            </w:r>
          </w:p>
        </w:tc>
      </w:tr>
    </w:tbl>
    <w:p w14:paraId="66E9ED3E" w14:textId="77777777" w:rsidR="008006B5" w:rsidRDefault="008006B5" w:rsidP="00BD5234">
      <w:pPr>
        <w:pStyle w:val="ListParagraph"/>
        <w:keepLines/>
        <w:widowControl w:val="0"/>
        <w:tabs>
          <w:tab w:val="left" w:pos="8700"/>
        </w:tabs>
        <w:spacing w:before="0" w:line="264" w:lineRule="auto"/>
        <w:ind w:left="0"/>
        <w:rPr>
          <w:rFonts w:cs="Arial"/>
          <w:b/>
          <w:bCs/>
          <w:color w:val="F26522" w:themeColor="accent1"/>
          <w:kern w:val="32"/>
          <w:sz w:val="24"/>
        </w:rPr>
      </w:pPr>
    </w:p>
    <w:p w14:paraId="173F8869" w14:textId="37F25B89" w:rsidR="00BD5234" w:rsidRDefault="00BD5234" w:rsidP="00BD5234">
      <w:pPr>
        <w:pStyle w:val="ListParagraph"/>
        <w:keepLines/>
        <w:widowControl w:val="0"/>
        <w:tabs>
          <w:tab w:val="left" w:pos="8700"/>
        </w:tabs>
        <w:spacing w:before="0" w:line="264" w:lineRule="auto"/>
        <w:ind w:left="0"/>
        <w:rPr>
          <w:rFonts w:cs="Arial"/>
          <w:b/>
          <w:bCs/>
          <w:color w:val="F26522" w:themeColor="accent1"/>
          <w:kern w:val="32"/>
          <w:sz w:val="24"/>
        </w:rPr>
      </w:pPr>
    </w:p>
    <w:p w14:paraId="66AEB86E" w14:textId="77777777" w:rsidR="00976D98" w:rsidRDefault="00976D98" w:rsidP="003F129C">
      <w:pPr>
        <w:pStyle w:val="e"/>
      </w:pPr>
      <w:r>
        <w:lastRenderedPageBreak/>
        <w:t>When will this change take place?</w:t>
      </w:r>
    </w:p>
    <w:p w14:paraId="57E64F4B" w14:textId="77777777" w:rsidR="005625BF" w:rsidRDefault="005625BF" w:rsidP="00976D98">
      <w:pPr>
        <w:spacing w:before="0" w:after="160" w:line="259" w:lineRule="auto"/>
        <w:rPr>
          <w:b/>
          <w:sz w:val="24"/>
        </w:rPr>
      </w:pPr>
      <w:r w:rsidRPr="005625BF">
        <w:rPr>
          <w:b/>
          <w:sz w:val="24"/>
        </w:rPr>
        <w:t>Implementation date:</w:t>
      </w:r>
    </w:p>
    <w:p w14:paraId="5CEBB01F" w14:textId="3F9DD805" w:rsidR="00986892" w:rsidRDefault="005D1471" w:rsidP="00986892">
      <w:pPr>
        <w:jc w:val="both"/>
        <w:rPr>
          <w:sz w:val="24"/>
        </w:rPr>
      </w:pPr>
      <w:r>
        <w:rPr>
          <w:sz w:val="24"/>
        </w:rPr>
        <w:t xml:space="preserve">To be discussed with the Workgroup however we would envisage this alternative proposal </w:t>
      </w:r>
      <w:r w:rsidR="00384D39">
        <w:rPr>
          <w:sz w:val="24"/>
        </w:rPr>
        <w:t xml:space="preserve">could be </w:t>
      </w:r>
      <w:r>
        <w:rPr>
          <w:sz w:val="24"/>
        </w:rPr>
        <w:t xml:space="preserve">implemented </w:t>
      </w:r>
      <w:r w:rsidR="00D13225">
        <w:rPr>
          <w:sz w:val="24"/>
        </w:rPr>
        <w:t>twelve</w:t>
      </w:r>
      <w:r>
        <w:rPr>
          <w:sz w:val="24"/>
        </w:rPr>
        <w:t xml:space="preserve"> month</w:t>
      </w:r>
      <w:r w:rsidR="00D13225">
        <w:rPr>
          <w:sz w:val="24"/>
        </w:rPr>
        <w:t>s</w:t>
      </w:r>
      <w:r>
        <w:rPr>
          <w:sz w:val="24"/>
        </w:rPr>
        <w:t xml:space="preserve"> after an Authority decision</w:t>
      </w:r>
      <w:r w:rsidR="00095B5B">
        <w:rPr>
          <w:sz w:val="24"/>
        </w:rPr>
        <w:t xml:space="preserve"> in line with the Original</w:t>
      </w:r>
      <w:r>
        <w:rPr>
          <w:sz w:val="24"/>
        </w:rPr>
        <w:t>.</w:t>
      </w:r>
    </w:p>
    <w:p w14:paraId="0344C0F6" w14:textId="0772DDD4" w:rsidR="005625BF" w:rsidRPr="005625BF" w:rsidRDefault="003F129C" w:rsidP="00976D98">
      <w:pPr>
        <w:spacing w:before="0" w:after="160" w:line="259" w:lineRule="auto"/>
        <w:rPr>
          <w:b/>
          <w:sz w:val="24"/>
        </w:rPr>
      </w:pPr>
      <w:r>
        <w:rPr>
          <w:b/>
          <w:sz w:val="24"/>
        </w:rPr>
        <w:t>Implementation approach:</w:t>
      </w:r>
    </w:p>
    <w:p w14:paraId="7FAB533D" w14:textId="33C91240" w:rsidR="003F129C" w:rsidRPr="00AC04D3" w:rsidRDefault="00650AC3" w:rsidP="00976D98">
      <w:pPr>
        <w:keepLines/>
        <w:widowControl w:val="0"/>
        <w:tabs>
          <w:tab w:val="left" w:pos="1418"/>
        </w:tabs>
        <w:spacing w:before="0" w:line="264" w:lineRule="auto"/>
        <w:rPr>
          <w:sz w:val="24"/>
        </w:rPr>
      </w:pPr>
      <w:r w:rsidRPr="006839CC">
        <w:rPr>
          <w:sz w:val="24"/>
        </w:rPr>
        <w:t>Post-</w:t>
      </w:r>
      <w:r w:rsidR="006839CC" w:rsidRPr="006839CC">
        <w:rPr>
          <w:sz w:val="24"/>
        </w:rPr>
        <w:t>implementation</w:t>
      </w:r>
      <w:r w:rsidRPr="006839CC">
        <w:rPr>
          <w:sz w:val="24"/>
        </w:rPr>
        <w:t xml:space="preserve"> period will need to</w:t>
      </w:r>
      <w:r w:rsidR="00785D9B" w:rsidRPr="006839CC">
        <w:rPr>
          <w:sz w:val="24"/>
        </w:rPr>
        <w:t xml:space="preserve"> allow </w:t>
      </w:r>
      <w:r w:rsidRPr="006839CC">
        <w:rPr>
          <w:sz w:val="24"/>
        </w:rPr>
        <w:t xml:space="preserve">sufficient </w:t>
      </w:r>
      <w:r w:rsidR="00785D9B" w:rsidRPr="006839CC">
        <w:rPr>
          <w:sz w:val="24"/>
        </w:rPr>
        <w:t>time for</w:t>
      </w:r>
      <w:r w:rsidR="00BC7F68" w:rsidRPr="006839CC">
        <w:rPr>
          <w:sz w:val="24"/>
        </w:rPr>
        <w:t xml:space="preserve"> consequential STC and STCP Code changes,</w:t>
      </w:r>
      <w:r w:rsidR="00785D9B" w:rsidRPr="006839CC">
        <w:rPr>
          <w:sz w:val="24"/>
        </w:rPr>
        <w:t xml:space="preserve"> development of supporting</w:t>
      </w:r>
      <w:r w:rsidR="00255DA5" w:rsidRPr="006839CC">
        <w:rPr>
          <w:sz w:val="24"/>
        </w:rPr>
        <w:t>/training</w:t>
      </w:r>
      <w:r w:rsidR="00785D9B" w:rsidRPr="006839CC">
        <w:rPr>
          <w:sz w:val="24"/>
        </w:rPr>
        <w:t xml:space="preserve"> materials</w:t>
      </w:r>
      <w:r w:rsidR="00255DA5" w:rsidRPr="006839CC">
        <w:rPr>
          <w:sz w:val="24"/>
        </w:rPr>
        <w:t xml:space="preserve"> for use by industry</w:t>
      </w:r>
      <w:r w:rsidR="00693199" w:rsidRPr="006839CC">
        <w:rPr>
          <w:sz w:val="24"/>
        </w:rPr>
        <w:t xml:space="preserve">, </w:t>
      </w:r>
      <w:r w:rsidR="00255DA5" w:rsidRPr="006839CC">
        <w:rPr>
          <w:sz w:val="24"/>
        </w:rPr>
        <w:t xml:space="preserve">changes </w:t>
      </w:r>
      <w:r w:rsidR="006839CC" w:rsidRPr="006839CC">
        <w:rPr>
          <w:sz w:val="24"/>
        </w:rPr>
        <w:t xml:space="preserve">and </w:t>
      </w:r>
      <w:r w:rsidR="00693199" w:rsidRPr="006839CC">
        <w:rPr>
          <w:sz w:val="24"/>
        </w:rPr>
        <w:t>ESO/DNO/TO p</w:t>
      </w:r>
      <w:r w:rsidR="00255DA5" w:rsidRPr="006839CC">
        <w:rPr>
          <w:sz w:val="24"/>
        </w:rPr>
        <w:t>rocesses</w:t>
      </w:r>
      <w:r w:rsidR="006839CC" w:rsidRPr="006839CC">
        <w:rPr>
          <w:sz w:val="24"/>
        </w:rPr>
        <w:t>.</w:t>
      </w:r>
    </w:p>
    <w:p w14:paraId="43A10972" w14:textId="77777777" w:rsidR="00E65196" w:rsidRPr="00095D82" w:rsidRDefault="00E65196" w:rsidP="00E25874">
      <w:bookmarkStart w:id="4" w:name="_Workgroup_Consultation_1"/>
      <w:bookmarkEnd w:id="4"/>
    </w:p>
    <w:p w14:paraId="5FFBD20C" w14:textId="77777777" w:rsidR="00C92950" w:rsidRPr="00C73CBB" w:rsidRDefault="00C92950" w:rsidP="00976D98">
      <w:pPr>
        <w:pStyle w:val="Style6"/>
        <w:rPr>
          <w:color w:val="F26522" w:themeColor="accent1"/>
        </w:rPr>
      </w:pPr>
      <w:bookmarkStart w:id="5" w:name="_How_to_respond"/>
      <w:bookmarkEnd w:id="5"/>
      <w:r w:rsidRPr="00726C06">
        <w:t>Acronym</w:t>
      </w:r>
      <w:r w:rsidR="00250A22">
        <w:t>s, key terms</w:t>
      </w:r>
      <w:r w:rsidR="00D06DC4" w:rsidRPr="00726C06">
        <w:t xml:space="preserve"> and reference </w:t>
      </w:r>
      <w:r w:rsidR="009E2AC7">
        <w:t>material</w:t>
      </w:r>
    </w:p>
    <w:tbl>
      <w:tblPr>
        <w:tblStyle w:val="TableGrid"/>
        <w:tblW w:w="0" w:type="auto"/>
        <w:tblLook w:val="04A0" w:firstRow="1" w:lastRow="0" w:firstColumn="1" w:lastColumn="0" w:noHBand="0" w:noVBand="1"/>
      </w:tblPr>
      <w:tblGrid>
        <w:gridCol w:w="2547"/>
        <w:gridCol w:w="6662"/>
      </w:tblGrid>
      <w:tr w:rsidR="00C73CBB" w14:paraId="2DBD486F" w14:textId="77777777" w:rsidTr="00250A22">
        <w:tc>
          <w:tcPr>
            <w:tcW w:w="2547" w:type="dxa"/>
            <w:shd w:val="clear" w:color="auto" w:fill="727274" w:themeFill="text2"/>
          </w:tcPr>
          <w:p w14:paraId="5AB5EE79" w14:textId="5D9B5D3C" w:rsidR="00C73CBB" w:rsidRPr="009E2AC7" w:rsidRDefault="00C73CBB" w:rsidP="00BC5F63">
            <w:pPr>
              <w:rPr>
                <w:b/>
                <w:color w:val="FFFFFF" w:themeColor="background1"/>
                <w:sz w:val="24"/>
              </w:rPr>
            </w:pPr>
            <w:r w:rsidRPr="009E2AC7">
              <w:rPr>
                <w:b/>
                <w:color w:val="FFFFFF" w:themeColor="background1"/>
                <w:sz w:val="24"/>
              </w:rPr>
              <w:t xml:space="preserve">Acronym </w:t>
            </w:r>
            <w:r w:rsidR="00250A22">
              <w:rPr>
                <w:b/>
                <w:color w:val="FFFFFF" w:themeColor="background1"/>
                <w:sz w:val="24"/>
              </w:rPr>
              <w:t>/ key term</w:t>
            </w:r>
          </w:p>
        </w:tc>
        <w:tc>
          <w:tcPr>
            <w:tcW w:w="6662" w:type="dxa"/>
            <w:shd w:val="clear" w:color="auto" w:fill="727274" w:themeFill="text2"/>
          </w:tcPr>
          <w:p w14:paraId="108A892D" w14:textId="77777777" w:rsidR="00C73CBB" w:rsidRPr="009E2AC7" w:rsidRDefault="00C73CBB" w:rsidP="00BC5F63">
            <w:pPr>
              <w:rPr>
                <w:b/>
                <w:color w:val="FFFFFF" w:themeColor="background1"/>
                <w:sz w:val="24"/>
              </w:rPr>
            </w:pPr>
            <w:r w:rsidRPr="009E2AC7">
              <w:rPr>
                <w:b/>
                <w:color w:val="FFFFFF" w:themeColor="background1"/>
                <w:sz w:val="24"/>
              </w:rPr>
              <w:t>Meaning</w:t>
            </w:r>
          </w:p>
        </w:tc>
      </w:tr>
      <w:tr w:rsidR="00C73CBB" w14:paraId="28AAC560" w14:textId="77777777" w:rsidTr="00250A22">
        <w:tc>
          <w:tcPr>
            <w:tcW w:w="2547" w:type="dxa"/>
          </w:tcPr>
          <w:p w14:paraId="51908FEF" w14:textId="77777777" w:rsidR="00C73CBB" w:rsidRPr="006A726B" w:rsidRDefault="00C73CBB" w:rsidP="0034026E">
            <w:pPr>
              <w:spacing w:before="0" w:after="0"/>
              <w:rPr>
                <w:sz w:val="24"/>
              </w:rPr>
            </w:pPr>
          </w:p>
        </w:tc>
        <w:tc>
          <w:tcPr>
            <w:tcW w:w="6662" w:type="dxa"/>
          </w:tcPr>
          <w:p w14:paraId="31EE93D9" w14:textId="77777777" w:rsidR="00C73CBB" w:rsidRPr="00A61985" w:rsidRDefault="00C73CBB" w:rsidP="0034026E">
            <w:pPr>
              <w:spacing w:before="0" w:after="0"/>
              <w:rPr>
                <w:sz w:val="24"/>
              </w:rPr>
            </w:pPr>
          </w:p>
        </w:tc>
      </w:tr>
      <w:tr w:rsidR="00046CCE" w14:paraId="7B843725" w14:textId="77777777" w:rsidTr="00250A22">
        <w:tc>
          <w:tcPr>
            <w:tcW w:w="2547" w:type="dxa"/>
          </w:tcPr>
          <w:p w14:paraId="3A62A9AD" w14:textId="77777777" w:rsidR="00046CCE" w:rsidRDefault="00046CCE" w:rsidP="0034026E">
            <w:pPr>
              <w:spacing w:before="0" w:after="0"/>
              <w:rPr>
                <w:sz w:val="24"/>
              </w:rPr>
            </w:pPr>
          </w:p>
        </w:tc>
        <w:tc>
          <w:tcPr>
            <w:tcW w:w="6662" w:type="dxa"/>
          </w:tcPr>
          <w:p w14:paraId="7614155B" w14:textId="77777777" w:rsidR="00046CCE" w:rsidRPr="006A726B" w:rsidRDefault="00046CCE" w:rsidP="0034026E">
            <w:pPr>
              <w:spacing w:before="0" w:after="0"/>
              <w:rPr>
                <w:sz w:val="24"/>
              </w:rPr>
            </w:pPr>
          </w:p>
        </w:tc>
      </w:tr>
      <w:tr w:rsidR="00046CCE" w14:paraId="3B27F54C" w14:textId="77777777" w:rsidTr="00250A22">
        <w:tc>
          <w:tcPr>
            <w:tcW w:w="2547" w:type="dxa"/>
          </w:tcPr>
          <w:p w14:paraId="1A4486A5" w14:textId="77777777" w:rsidR="00046CCE" w:rsidRPr="006A726B" w:rsidRDefault="00046CCE" w:rsidP="0034026E">
            <w:pPr>
              <w:spacing w:before="0" w:after="0"/>
              <w:rPr>
                <w:sz w:val="24"/>
              </w:rPr>
            </w:pPr>
          </w:p>
        </w:tc>
        <w:tc>
          <w:tcPr>
            <w:tcW w:w="6662" w:type="dxa"/>
          </w:tcPr>
          <w:p w14:paraId="51EE39B0" w14:textId="77777777" w:rsidR="00046CCE" w:rsidRPr="006A726B" w:rsidRDefault="00046CCE" w:rsidP="0034026E">
            <w:pPr>
              <w:spacing w:before="0" w:after="0"/>
              <w:rPr>
                <w:sz w:val="24"/>
              </w:rPr>
            </w:pPr>
          </w:p>
        </w:tc>
      </w:tr>
      <w:tr w:rsidR="00B04009" w14:paraId="71749F20" w14:textId="77777777" w:rsidTr="00250A22">
        <w:tc>
          <w:tcPr>
            <w:tcW w:w="2547" w:type="dxa"/>
          </w:tcPr>
          <w:p w14:paraId="06FA2EB8" w14:textId="77777777" w:rsidR="00B04009" w:rsidRDefault="00B04009" w:rsidP="0034026E">
            <w:pPr>
              <w:spacing w:before="0" w:after="0"/>
              <w:rPr>
                <w:sz w:val="24"/>
              </w:rPr>
            </w:pPr>
          </w:p>
        </w:tc>
        <w:tc>
          <w:tcPr>
            <w:tcW w:w="6662" w:type="dxa"/>
          </w:tcPr>
          <w:p w14:paraId="46DEEE9C" w14:textId="77777777" w:rsidR="00B04009" w:rsidRPr="006A726B" w:rsidRDefault="00B04009" w:rsidP="0034026E">
            <w:pPr>
              <w:spacing w:before="0" w:after="0"/>
              <w:rPr>
                <w:sz w:val="24"/>
              </w:rPr>
            </w:pPr>
          </w:p>
        </w:tc>
      </w:tr>
      <w:tr w:rsidR="00B04009" w14:paraId="5A3116DB" w14:textId="77777777" w:rsidTr="00250A22">
        <w:tc>
          <w:tcPr>
            <w:tcW w:w="2547" w:type="dxa"/>
          </w:tcPr>
          <w:p w14:paraId="22098144" w14:textId="77777777" w:rsidR="00B04009" w:rsidRDefault="00B04009" w:rsidP="0034026E">
            <w:pPr>
              <w:spacing w:before="0" w:after="0"/>
              <w:rPr>
                <w:sz w:val="24"/>
              </w:rPr>
            </w:pPr>
          </w:p>
        </w:tc>
        <w:tc>
          <w:tcPr>
            <w:tcW w:w="6662" w:type="dxa"/>
          </w:tcPr>
          <w:p w14:paraId="61B0E43E" w14:textId="77777777" w:rsidR="00B04009" w:rsidRPr="006A726B" w:rsidRDefault="00B04009" w:rsidP="0034026E">
            <w:pPr>
              <w:spacing w:before="0" w:after="0"/>
              <w:rPr>
                <w:sz w:val="24"/>
              </w:rPr>
            </w:pPr>
          </w:p>
        </w:tc>
      </w:tr>
      <w:tr w:rsidR="00046CCE" w14:paraId="2A253FF2" w14:textId="77777777" w:rsidTr="00250A22">
        <w:tc>
          <w:tcPr>
            <w:tcW w:w="2547" w:type="dxa"/>
          </w:tcPr>
          <w:p w14:paraId="2846C4D3" w14:textId="77777777" w:rsidR="00046CCE" w:rsidRDefault="00046CCE" w:rsidP="0034026E">
            <w:pPr>
              <w:spacing w:before="0" w:after="0"/>
              <w:rPr>
                <w:sz w:val="24"/>
              </w:rPr>
            </w:pPr>
          </w:p>
        </w:tc>
        <w:tc>
          <w:tcPr>
            <w:tcW w:w="6662" w:type="dxa"/>
          </w:tcPr>
          <w:p w14:paraId="3DF99065" w14:textId="77777777" w:rsidR="00046CCE" w:rsidRPr="006A726B" w:rsidRDefault="00046CCE" w:rsidP="0034026E">
            <w:pPr>
              <w:spacing w:before="0" w:after="0"/>
              <w:rPr>
                <w:sz w:val="24"/>
              </w:rPr>
            </w:pPr>
          </w:p>
        </w:tc>
      </w:tr>
      <w:tr w:rsidR="00046CCE" w14:paraId="16B55845" w14:textId="77777777" w:rsidTr="00250A22">
        <w:tc>
          <w:tcPr>
            <w:tcW w:w="2547" w:type="dxa"/>
          </w:tcPr>
          <w:p w14:paraId="7212E4CD" w14:textId="77777777" w:rsidR="00046CCE" w:rsidRDefault="00046CCE" w:rsidP="0034026E">
            <w:pPr>
              <w:spacing w:before="0" w:after="0"/>
              <w:rPr>
                <w:sz w:val="24"/>
              </w:rPr>
            </w:pPr>
          </w:p>
        </w:tc>
        <w:tc>
          <w:tcPr>
            <w:tcW w:w="6662" w:type="dxa"/>
          </w:tcPr>
          <w:p w14:paraId="59E08E06" w14:textId="77777777" w:rsidR="00046CCE" w:rsidRPr="006A726B" w:rsidRDefault="00046CCE" w:rsidP="0034026E">
            <w:pPr>
              <w:spacing w:before="0" w:after="0"/>
              <w:rPr>
                <w:sz w:val="24"/>
              </w:rPr>
            </w:pPr>
          </w:p>
        </w:tc>
      </w:tr>
      <w:tr w:rsidR="00B04009" w14:paraId="77FC37C7" w14:textId="77777777" w:rsidTr="00250A22">
        <w:tc>
          <w:tcPr>
            <w:tcW w:w="2547" w:type="dxa"/>
          </w:tcPr>
          <w:p w14:paraId="46080B9C" w14:textId="77777777" w:rsidR="00B04009" w:rsidRDefault="00B04009" w:rsidP="0034026E">
            <w:pPr>
              <w:spacing w:before="0" w:after="0"/>
              <w:rPr>
                <w:sz w:val="24"/>
              </w:rPr>
            </w:pPr>
          </w:p>
        </w:tc>
        <w:tc>
          <w:tcPr>
            <w:tcW w:w="6662" w:type="dxa"/>
          </w:tcPr>
          <w:p w14:paraId="3DB23085" w14:textId="77777777" w:rsidR="00B04009" w:rsidRPr="006A726B" w:rsidRDefault="00B04009" w:rsidP="0034026E">
            <w:pPr>
              <w:spacing w:before="0" w:after="0"/>
              <w:rPr>
                <w:sz w:val="24"/>
              </w:rPr>
            </w:pPr>
          </w:p>
        </w:tc>
      </w:tr>
      <w:tr w:rsidR="00B04009" w14:paraId="5276E33D" w14:textId="77777777" w:rsidTr="00250A22">
        <w:tc>
          <w:tcPr>
            <w:tcW w:w="2547" w:type="dxa"/>
          </w:tcPr>
          <w:p w14:paraId="21F4C8DA" w14:textId="77777777" w:rsidR="00B04009" w:rsidRDefault="00B04009" w:rsidP="0034026E">
            <w:pPr>
              <w:spacing w:before="0" w:after="0"/>
              <w:rPr>
                <w:sz w:val="24"/>
              </w:rPr>
            </w:pPr>
          </w:p>
        </w:tc>
        <w:tc>
          <w:tcPr>
            <w:tcW w:w="6662" w:type="dxa"/>
          </w:tcPr>
          <w:p w14:paraId="46CA1AE7" w14:textId="77777777" w:rsidR="00B04009" w:rsidRPr="006A726B" w:rsidRDefault="00B04009" w:rsidP="0034026E">
            <w:pPr>
              <w:spacing w:before="0" w:after="0"/>
              <w:rPr>
                <w:sz w:val="24"/>
              </w:rPr>
            </w:pPr>
          </w:p>
        </w:tc>
      </w:tr>
      <w:tr w:rsidR="00A61985" w14:paraId="7D161ABF" w14:textId="77777777" w:rsidTr="00250A22">
        <w:tc>
          <w:tcPr>
            <w:tcW w:w="2547" w:type="dxa"/>
          </w:tcPr>
          <w:p w14:paraId="35F87467" w14:textId="77777777" w:rsidR="00A61985" w:rsidRDefault="00A61985" w:rsidP="00A61985">
            <w:pPr>
              <w:spacing w:before="0" w:after="0"/>
              <w:rPr>
                <w:sz w:val="24"/>
              </w:rPr>
            </w:pPr>
          </w:p>
        </w:tc>
        <w:tc>
          <w:tcPr>
            <w:tcW w:w="6662" w:type="dxa"/>
          </w:tcPr>
          <w:p w14:paraId="179653B6" w14:textId="77777777" w:rsidR="00A61985" w:rsidRPr="006A726B" w:rsidRDefault="00A61985" w:rsidP="00A61985">
            <w:pPr>
              <w:spacing w:before="0" w:after="0"/>
              <w:rPr>
                <w:sz w:val="24"/>
              </w:rPr>
            </w:pPr>
          </w:p>
        </w:tc>
      </w:tr>
      <w:tr w:rsidR="00A61985" w14:paraId="0D1A2EC2" w14:textId="77777777" w:rsidTr="00250A22">
        <w:tc>
          <w:tcPr>
            <w:tcW w:w="2547" w:type="dxa"/>
          </w:tcPr>
          <w:p w14:paraId="540D02FA" w14:textId="77777777" w:rsidR="00A61985" w:rsidRDefault="00A61985" w:rsidP="00A61985">
            <w:pPr>
              <w:spacing w:before="0" w:after="0"/>
              <w:rPr>
                <w:sz w:val="24"/>
              </w:rPr>
            </w:pPr>
          </w:p>
        </w:tc>
        <w:tc>
          <w:tcPr>
            <w:tcW w:w="6662" w:type="dxa"/>
          </w:tcPr>
          <w:p w14:paraId="123818C0" w14:textId="77777777" w:rsidR="00A61985" w:rsidRPr="006A726B" w:rsidRDefault="00A61985" w:rsidP="00A61985">
            <w:pPr>
              <w:spacing w:before="0" w:after="0"/>
              <w:rPr>
                <w:sz w:val="24"/>
              </w:rPr>
            </w:pPr>
          </w:p>
        </w:tc>
      </w:tr>
      <w:tr w:rsidR="00A61985" w14:paraId="6C1D2B0A" w14:textId="77777777" w:rsidTr="00250A22">
        <w:tc>
          <w:tcPr>
            <w:tcW w:w="2547" w:type="dxa"/>
          </w:tcPr>
          <w:p w14:paraId="40807403" w14:textId="77777777" w:rsidR="00A61985" w:rsidRDefault="00A61985" w:rsidP="00A61985">
            <w:pPr>
              <w:spacing w:before="0" w:after="0"/>
              <w:rPr>
                <w:sz w:val="24"/>
              </w:rPr>
            </w:pPr>
          </w:p>
        </w:tc>
        <w:tc>
          <w:tcPr>
            <w:tcW w:w="6662" w:type="dxa"/>
          </w:tcPr>
          <w:p w14:paraId="1AEF5F06" w14:textId="77777777" w:rsidR="00A61985" w:rsidRPr="006A726B" w:rsidRDefault="00A61985" w:rsidP="00A61985">
            <w:pPr>
              <w:spacing w:before="0" w:after="0"/>
              <w:rPr>
                <w:sz w:val="24"/>
              </w:rPr>
            </w:pPr>
          </w:p>
        </w:tc>
      </w:tr>
    </w:tbl>
    <w:p w14:paraId="360911E0" w14:textId="77777777" w:rsidR="000570EE" w:rsidRDefault="000570EE" w:rsidP="00754610">
      <w:pPr>
        <w:rPr>
          <w:b/>
          <w:sz w:val="24"/>
        </w:rPr>
      </w:pPr>
    </w:p>
    <w:p w14:paraId="14FF7FF1" w14:textId="77777777" w:rsidR="00754610" w:rsidRPr="00DE4B0B" w:rsidRDefault="00754610" w:rsidP="00754610">
      <w:pPr>
        <w:rPr>
          <w:b/>
          <w:sz w:val="24"/>
        </w:rPr>
      </w:pPr>
      <w:r w:rsidRPr="00250A22">
        <w:rPr>
          <w:b/>
          <w:sz w:val="24"/>
        </w:rPr>
        <w:t>Reference material:</w:t>
      </w:r>
    </w:p>
    <w:p w14:paraId="28DBF18E" w14:textId="7E1979FD" w:rsidR="00754610" w:rsidRPr="00DA2744" w:rsidRDefault="00DA2744" w:rsidP="00DA2744">
      <w:pPr>
        <w:rPr>
          <w:sz w:val="24"/>
        </w:rPr>
      </w:pPr>
      <w:r>
        <w:rPr>
          <w:sz w:val="24"/>
        </w:rPr>
        <w:t>None</w:t>
      </w:r>
    </w:p>
    <w:p w14:paraId="1D961AE1" w14:textId="62FA9D7B" w:rsidR="00D037F9" w:rsidRDefault="00D037F9" w:rsidP="00D037F9">
      <w:pPr>
        <w:rPr>
          <w:sz w:val="24"/>
        </w:rPr>
      </w:pPr>
    </w:p>
    <w:sectPr w:rsidR="00D037F9"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48F827" w16cex:dateUtc="2021-05-14T12: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075BD" w14:textId="77777777" w:rsidR="00A53B5E" w:rsidRDefault="00A53B5E" w:rsidP="00D06DC4">
      <w:pPr>
        <w:spacing w:before="0" w:after="0" w:line="240" w:lineRule="auto"/>
      </w:pPr>
      <w:r>
        <w:separator/>
      </w:r>
    </w:p>
  </w:endnote>
  <w:endnote w:type="continuationSeparator" w:id="0">
    <w:p w14:paraId="5A2AD1EE" w14:textId="77777777" w:rsidR="00A53B5E" w:rsidRDefault="00A53B5E" w:rsidP="00D06DC4">
      <w:pPr>
        <w:spacing w:before="0" w:after="0" w:line="240" w:lineRule="auto"/>
      </w:pPr>
      <w:r>
        <w:continuationSeparator/>
      </w:r>
    </w:p>
  </w:endnote>
  <w:endnote w:type="continuationNotice" w:id="1">
    <w:p w14:paraId="06132A75" w14:textId="77777777" w:rsidR="00A53B5E" w:rsidRDefault="00A53B5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F1E49" w14:textId="66D0C1A4"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946299">
      <w:rPr>
        <w:rFonts w:cs="Arial"/>
        <w:noProof/>
        <w:sz w:val="16"/>
        <w:szCs w:val="16"/>
        <w:lang w:val="en-US"/>
      </w:rPr>
      <w:t>2</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946299">
      <w:rPr>
        <w:rFonts w:cs="Arial"/>
        <w:noProof/>
        <w:sz w:val="16"/>
        <w:szCs w:val="16"/>
        <w:lang w:val="en-US"/>
      </w:rPr>
      <w:t>4</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8E1F2" w14:textId="77777777" w:rsidR="00A53B5E" w:rsidRDefault="00A53B5E" w:rsidP="00D06DC4">
      <w:pPr>
        <w:spacing w:before="0" w:after="0" w:line="240" w:lineRule="auto"/>
      </w:pPr>
      <w:r>
        <w:separator/>
      </w:r>
    </w:p>
  </w:footnote>
  <w:footnote w:type="continuationSeparator" w:id="0">
    <w:p w14:paraId="2615B2A2" w14:textId="77777777" w:rsidR="00A53B5E" w:rsidRDefault="00A53B5E" w:rsidP="00D06DC4">
      <w:pPr>
        <w:spacing w:before="0" w:after="0" w:line="240" w:lineRule="auto"/>
      </w:pPr>
      <w:r>
        <w:continuationSeparator/>
      </w:r>
    </w:p>
  </w:footnote>
  <w:footnote w:type="continuationNotice" w:id="1">
    <w:p w14:paraId="301C64E9" w14:textId="77777777" w:rsidR="00A53B5E" w:rsidRDefault="00A53B5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8547B" w14:textId="3410A1A5" w:rsidR="00B8588F" w:rsidRDefault="00B8588F" w:rsidP="000C711B">
    <w:pPr>
      <w:pStyle w:val="Header"/>
      <w:ind w:left="720" w:firstLine="720"/>
      <w:jc w:val="right"/>
    </w:pPr>
    <w:bookmarkStart w:id="6" w:name="_Hlk31876634"/>
    <w:bookmarkStart w:id="7" w:name="_Hlk31876635"/>
    <w:r w:rsidRPr="00184853">
      <w:rPr>
        <w:noProof/>
        <w:lang w:val="en-US" w:eastAsia="en-US"/>
      </w:rPr>
      <w:drawing>
        <wp:anchor distT="0" distB="0" distL="114300" distR="114300" simplePos="0" relativeHeight="251658240" behindDoc="0" locked="1" layoutInCell="1" allowOverlap="1" wp14:anchorId="654C7A64" wp14:editId="42004145">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rsidR="77DFF968">
      <w:t>[Code Admin use] CMP328 Alternative</w:t>
    </w:r>
    <w:r>
      <w:tab/>
    </w:r>
    <w:bookmarkEnd w:id="6"/>
    <w:bookmarkEnd w:id="7"/>
    <w:r w:rsidR="77DFF968">
      <w:t xml:space="preserve">[Code Admin use] Submitted: </w:t>
    </w:r>
    <w:r w:rsidR="001D50E3">
      <w:t>19 May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A61F33"/>
    <w:multiLevelType w:val="hybridMultilevel"/>
    <w:tmpl w:val="E3C49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70F"/>
    <w:rsid w:val="000008A4"/>
    <w:rsid w:val="000058F6"/>
    <w:rsid w:val="00007098"/>
    <w:rsid w:val="00007585"/>
    <w:rsid w:val="00010D3D"/>
    <w:rsid w:val="000118E5"/>
    <w:rsid w:val="00014338"/>
    <w:rsid w:val="0001453C"/>
    <w:rsid w:val="00014880"/>
    <w:rsid w:val="00021A5C"/>
    <w:rsid w:val="000247E7"/>
    <w:rsid w:val="00025AFC"/>
    <w:rsid w:val="00027DF5"/>
    <w:rsid w:val="00027F1E"/>
    <w:rsid w:val="0003076F"/>
    <w:rsid w:val="0003112E"/>
    <w:rsid w:val="000327A9"/>
    <w:rsid w:val="00032AB3"/>
    <w:rsid w:val="00035D7B"/>
    <w:rsid w:val="00041BA7"/>
    <w:rsid w:val="00043265"/>
    <w:rsid w:val="00043CA8"/>
    <w:rsid w:val="00044C49"/>
    <w:rsid w:val="0004551F"/>
    <w:rsid w:val="00046C6B"/>
    <w:rsid w:val="00046C95"/>
    <w:rsid w:val="00046CCE"/>
    <w:rsid w:val="00046F03"/>
    <w:rsid w:val="00051A86"/>
    <w:rsid w:val="00052326"/>
    <w:rsid w:val="000544C2"/>
    <w:rsid w:val="000544FA"/>
    <w:rsid w:val="000570EE"/>
    <w:rsid w:val="00057671"/>
    <w:rsid w:val="00064CF7"/>
    <w:rsid w:val="0006563E"/>
    <w:rsid w:val="000675C2"/>
    <w:rsid w:val="00067ACE"/>
    <w:rsid w:val="00071870"/>
    <w:rsid w:val="00073139"/>
    <w:rsid w:val="00073685"/>
    <w:rsid w:val="00073C4A"/>
    <w:rsid w:val="000740A7"/>
    <w:rsid w:val="000745B7"/>
    <w:rsid w:val="00074D0E"/>
    <w:rsid w:val="00081650"/>
    <w:rsid w:val="0008165C"/>
    <w:rsid w:val="0008489B"/>
    <w:rsid w:val="00085F7D"/>
    <w:rsid w:val="000862C8"/>
    <w:rsid w:val="00086811"/>
    <w:rsid w:val="0009445F"/>
    <w:rsid w:val="00094AC2"/>
    <w:rsid w:val="00095B5B"/>
    <w:rsid w:val="00095D82"/>
    <w:rsid w:val="0009607F"/>
    <w:rsid w:val="000A10E8"/>
    <w:rsid w:val="000A2D90"/>
    <w:rsid w:val="000A3750"/>
    <w:rsid w:val="000A4401"/>
    <w:rsid w:val="000A6E2E"/>
    <w:rsid w:val="000B138B"/>
    <w:rsid w:val="000B1E99"/>
    <w:rsid w:val="000B1F6E"/>
    <w:rsid w:val="000B33E5"/>
    <w:rsid w:val="000B4B97"/>
    <w:rsid w:val="000B5F50"/>
    <w:rsid w:val="000B6AB0"/>
    <w:rsid w:val="000B6ADA"/>
    <w:rsid w:val="000B6FBD"/>
    <w:rsid w:val="000C0F50"/>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C3F"/>
    <w:rsid w:val="000E0EA1"/>
    <w:rsid w:val="000E2452"/>
    <w:rsid w:val="000E3729"/>
    <w:rsid w:val="000F036B"/>
    <w:rsid w:val="000F0A75"/>
    <w:rsid w:val="000F1A70"/>
    <w:rsid w:val="000F29B6"/>
    <w:rsid w:val="000F2FC3"/>
    <w:rsid w:val="000F4990"/>
    <w:rsid w:val="000F4CF7"/>
    <w:rsid w:val="000F626A"/>
    <w:rsid w:val="000F777F"/>
    <w:rsid w:val="000F7DBD"/>
    <w:rsid w:val="000F7DE1"/>
    <w:rsid w:val="001001FD"/>
    <w:rsid w:val="001010DC"/>
    <w:rsid w:val="00101348"/>
    <w:rsid w:val="001018FF"/>
    <w:rsid w:val="00101B9C"/>
    <w:rsid w:val="0010339F"/>
    <w:rsid w:val="00105605"/>
    <w:rsid w:val="00105DE3"/>
    <w:rsid w:val="001063E2"/>
    <w:rsid w:val="00106E46"/>
    <w:rsid w:val="0010791D"/>
    <w:rsid w:val="00107D66"/>
    <w:rsid w:val="00110783"/>
    <w:rsid w:val="001118CF"/>
    <w:rsid w:val="00111CBD"/>
    <w:rsid w:val="001171E8"/>
    <w:rsid w:val="00120724"/>
    <w:rsid w:val="001236C0"/>
    <w:rsid w:val="0012453D"/>
    <w:rsid w:val="0012463C"/>
    <w:rsid w:val="00126C8E"/>
    <w:rsid w:val="00126F01"/>
    <w:rsid w:val="00132609"/>
    <w:rsid w:val="00132FA2"/>
    <w:rsid w:val="001349AB"/>
    <w:rsid w:val="001349CB"/>
    <w:rsid w:val="00134F5B"/>
    <w:rsid w:val="0013683C"/>
    <w:rsid w:val="00136B3E"/>
    <w:rsid w:val="00141901"/>
    <w:rsid w:val="0014402B"/>
    <w:rsid w:val="00145258"/>
    <w:rsid w:val="0014530C"/>
    <w:rsid w:val="00147694"/>
    <w:rsid w:val="00150256"/>
    <w:rsid w:val="001521C5"/>
    <w:rsid w:val="00152FBB"/>
    <w:rsid w:val="00155A85"/>
    <w:rsid w:val="00157AF1"/>
    <w:rsid w:val="001605E9"/>
    <w:rsid w:val="00161C50"/>
    <w:rsid w:val="00163518"/>
    <w:rsid w:val="001644D6"/>
    <w:rsid w:val="00164976"/>
    <w:rsid w:val="00164E49"/>
    <w:rsid w:val="00167859"/>
    <w:rsid w:val="0017054E"/>
    <w:rsid w:val="0017092A"/>
    <w:rsid w:val="00171B0E"/>
    <w:rsid w:val="00173901"/>
    <w:rsid w:val="00173F0A"/>
    <w:rsid w:val="00174C95"/>
    <w:rsid w:val="00175C02"/>
    <w:rsid w:val="001765E5"/>
    <w:rsid w:val="0018346C"/>
    <w:rsid w:val="00184853"/>
    <w:rsid w:val="001853F8"/>
    <w:rsid w:val="0019086A"/>
    <w:rsid w:val="00194981"/>
    <w:rsid w:val="00196AA1"/>
    <w:rsid w:val="001A21EE"/>
    <w:rsid w:val="001A22FC"/>
    <w:rsid w:val="001A5284"/>
    <w:rsid w:val="001A77D1"/>
    <w:rsid w:val="001B0673"/>
    <w:rsid w:val="001B13B5"/>
    <w:rsid w:val="001B1677"/>
    <w:rsid w:val="001B18BC"/>
    <w:rsid w:val="001B2928"/>
    <w:rsid w:val="001B7104"/>
    <w:rsid w:val="001B76B1"/>
    <w:rsid w:val="001C0212"/>
    <w:rsid w:val="001C05F7"/>
    <w:rsid w:val="001C0A4C"/>
    <w:rsid w:val="001C12B3"/>
    <w:rsid w:val="001C22BD"/>
    <w:rsid w:val="001C6B13"/>
    <w:rsid w:val="001C7125"/>
    <w:rsid w:val="001C796F"/>
    <w:rsid w:val="001D1369"/>
    <w:rsid w:val="001D150E"/>
    <w:rsid w:val="001D1FAC"/>
    <w:rsid w:val="001D3A73"/>
    <w:rsid w:val="001D3B61"/>
    <w:rsid w:val="001D435D"/>
    <w:rsid w:val="001D435E"/>
    <w:rsid w:val="001D48A3"/>
    <w:rsid w:val="001D50E3"/>
    <w:rsid w:val="001D741E"/>
    <w:rsid w:val="001E1149"/>
    <w:rsid w:val="001E2CB2"/>
    <w:rsid w:val="001E477B"/>
    <w:rsid w:val="001E4B96"/>
    <w:rsid w:val="001E51CC"/>
    <w:rsid w:val="001E53E8"/>
    <w:rsid w:val="001E5706"/>
    <w:rsid w:val="001F010C"/>
    <w:rsid w:val="001F09D2"/>
    <w:rsid w:val="001F10F4"/>
    <w:rsid w:val="001F1AE9"/>
    <w:rsid w:val="001F33F0"/>
    <w:rsid w:val="001F51F0"/>
    <w:rsid w:val="001F62CE"/>
    <w:rsid w:val="001F6B4B"/>
    <w:rsid w:val="0020148A"/>
    <w:rsid w:val="00204E96"/>
    <w:rsid w:val="00207706"/>
    <w:rsid w:val="002131BA"/>
    <w:rsid w:val="00213F7A"/>
    <w:rsid w:val="00214C0B"/>
    <w:rsid w:val="002153B2"/>
    <w:rsid w:val="00217A69"/>
    <w:rsid w:val="00220684"/>
    <w:rsid w:val="00220E43"/>
    <w:rsid w:val="00221806"/>
    <w:rsid w:val="002229C9"/>
    <w:rsid w:val="00224DC9"/>
    <w:rsid w:val="00231A0E"/>
    <w:rsid w:val="00232757"/>
    <w:rsid w:val="00233594"/>
    <w:rsid w:val="002342A0"/>
    <w:rsid w:val="0023461A"/>
    <w:rsid w:val="0023575D"/>
    <w:rsid w:val="002362B6"/>
    <w:rsid w:val="00240571"/>
    <w:rsid w:val="00242D19"/>
    <w:rsid w:val="00244A90"/>
    <w:rsid w:val="00250A22"/>
    <w:rsid w:val="00254599"/>
    <w:rsid w:val="00254CB4"/>
    <w:rsid w:val="00255DA5"/>
    <w:rsid w:val="002569A0"/>
    <w:rsid w:val="00256C1F"/>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D47"/>
    <w:rsid w:val="00290E73"/>
    <w:rsid w:val="002924FF"/>
    <w:rsid w:val="00292AF3"/>
    <w:rsid w:val="00293837"/>
    <w:rsid w:val="00294971"/>
    <w:rsid w:val="00295110"/>
    <w:rsid w:val="002966CC"/>
    <w:rsid w:val="002971BF"/>
    <w:rsid w:val="002979BE"/>
    <w:rsid w:val="002A0454"/>
    <w:rsid w:val="002A07AF"/>
    <w:rsid w:val="002A1AD0"/>
    <w:rsid w:val="002A51AD"/>
    <w:rsid w:val="002B3381"/>
    <w:rsid w:val="002B36D7"/>
    <w:rsid w:val="002B4673"/>
    <w:rsid w:val="002B5ADD"/>
    <w:rsid w:val="002B6174"/>
    <w:rsid w:val="002B64CB"/>
    <w:rsid w:val="002C14D3"/>
    <w:rsid w:val="002C2626"/>
    <w:rsid w:val="002C370A"/>
    <w:rsid w:val="002C53F4"/>
    <w:rsid w:val="002C5585"/>
    <w:rsid w:val="002D1E32"/>
    <w:rsid w:val="002D20B5"/>
    <w:rsid w:val="002D28D8"/>
    <w:rsid w:val="002D3591"/>
    <w:rsid w:val="002D725D"/>
    <w:rsid w:val="002D72B6"/>
    <w:rsid w:val="002E02F4"/>
    <w:rsid w:val="002E063E"/>
    <w:rsid w:val="002E64AD"/>
    <w:rsid w:val="002E79AB"/>
    <w:rsid w:val="002E7DE1"/>
    <w:rsid w:val="002F22D0"/>
    <w:rsid w:val="002F23E3"/>
    <w:rsid w:val="002F2473"/>
    <w:rsid w:val="002F3293"/>
    <w:rsid w:val="002F3D4C"/>
    <w:rsid w:val="002F3D6A"/>
    <w:rsid w:val="002F3F49"/>
    <w:rsid w:val="003019C4"/>
    <w:rsid w:val="00303CCE"/>
    <w:rsid w:val="00303EF5"/>
    <w:rsid w:val="003055A9"/>
    <w:rsid w:val="00305EE2"/>
    <w:rsid w:val="00307C12"/>
    <w:rsid w:val="003104C8"/>
    <w:rsid w:val="00313073"/>
    <w:rsid w:val="00313280"/>
    <w:rsid w:val="003137B3"/>
    <w:rsid w:val="00313B1D"/>
    <w:rsid w:val="00314414"/>
    <w:rsid w:val="00317BE9"/>
    <w:rsid w:val="00321AC9"/>
    <w:rsid w:val="00322D36"/>
    <w:rsid w:val="00324130"/>
    <w:rsid w:val="00325CF8"/>
    <w:rsid w:val="0032765F"/>
    <w:rsid w:val="003277D1"/>
    <w:rsid w:val="00331C2F"/>
    <w:rsid w:val="003335DA"/>
    <w:rsid w:val="00333A2B"/>
    <w:rsid w:val="00334930"/>
    <w:rsid w:val="0033533D"/>
    <w:rsid w:val="003376EF"/>
    <w:rsid w:val="003378C3"/>
    <w:rsid w:val="00340176"/>
    <w:rsid w:val="0034026E"/>
    <w:rsid w:val="00341799"/>
    <w:rsid w:val="0034296D"/>
    <w:rsid w:val="00343534"/>
    <w:rsid w:val="003435F0"/>
    <w:rsid w:val="0034387B"/>
    <w:rsid w:val="00343B5F"/>
    <w:rsid w:val="00344A95"/>
    <w:rsid w:val="003450CE"/>
    <w:rsid w:val="003476D6"/>
    <w:rsid w:val="00347C7C"/>
    <w:rsid w:val="00352401"/>
    <w:rsid w:val="003559D2"/>
    <w:rsid w:val="00356D07"/>
    <w:rsid w:val="0035711D"/>
    <w:rsid w:val="00360977"/>
    <w:rsid w:val="003620F4"/>
    <w:rsid w:val="00363E58"/>
    <w:rsid w:val="0036430D"/>
    <w:rsid w:val="00367F32"/>
    <w:rsid w:val="00374DE0"/>
    <w:rsid w:val="00375B98"/>
    <w:rsid w:val="0037628E"/>
    <w:rsid w:val="00376580"/>
    <w:rsid w:val="0037724E"/>
    <w:rsid w:val="00377CF0"/>
    <w:rsid w:val="00384D39"/>
    <w:rsid w:val="003866E9"/>
    <w:rsid w:val="00386F89"/>
    <w:rsid w:val="003875B7"/>
    <w:rsid w:val="00390E5A"/>
    <w:rsid w:val="00392884"/>
    <w:rsid w:val="003944DD"/>
    <w:rsid w:val="00394B90"/>
    <w:rsid w:val="00397E6E"/>
    <w:rsid w:val="003A1FE6"/>
    <w:rsid w:val="003A2CAB"/>
    <w:rsid w:val="003A3B88"/>
    <w:rsid w:val="003A5AC0"/>
    <w:rsid w:val="003A64F5"/>
    <w:rsid w:val="003A6D0C"/>
    <w:rsid w:val="003B01DE"/>
    <w:rsid w:val="003B11AC"/>
    <w:rsid w:val="003B16F2"/>
    <w:rsid w:val="003B2155"/>
    <w:rsid w:val="003B269E"/>
    <w:rsid w:val="003B2F6C"/>
    <w:rsid w:val="003B641E"/>
    <w:rsid w:val="003B7F0D"/>
    <w:rsid w:val="003C2A0A"/>
    <w:rsid w:val="003C52EF"/>
    <w:rsid w:val="003C5A93"/>
    <w:rsid w:val="003C64B1"/>
    <w:rsid w:val="003C6695"/>
    <w:rsid w:val="003C7E9B"/>
    <w:rsid w:val="003D3722"/>
    <w:rsid w:val="003D510E"/>
    <w:rsid w:val="003D5F62"/>
    <w:rsid w:val="003D7B16"/>
    <w:rsid w:val="003E0DC9"/>
    <w:rsid w:val="003E1C63"/>
    <w:rsid w:val="003E2E08"/>
    <w:rsid w:val="003E344B"/>
    <w:rsid w:val="003E5F87"/>
    <w:rsid w:val="003E7160"/>
    <w:rsid w:val="003E7C0A"/>
    <w:rsid w:val="003F0ECC"/>
    <w:rsid w:val="003F129C"/>
    <w:rsid w:val="003F2AEE"/>
    <w:rsid w:val="003F6FB7"/>
    <w:rsid w:val="003F79BF"/>
    <w:rsid w:val="00400916"/>
    <w:rsid w:val="004009B8"/>
    <w:rsid w:val="00401423"/>
    <w:rsid w:val="004030F8"/>
    <w:rsid w:val="004057AA"/>
    <w:rsid w:val="00405F32"/>
    <w:rsid w:val="00405F4B"/>
    <w:rsid w:val="00411EF7"/>
    <w:rsid w:val="00414917"/>
    <w:rsid w:val="0041663B"/>
    <w:rsid w:val="00416ACC"/>
    <w:rsid w:val="0042198C"/>
    <w:rsid w:val="0042272E"/>
    <w:rsid w:val="00423F67"/>
    <w:rsid w:val="00424400"/>
    <w:rsid w:val="0042450B"/>
    <w:rsid w:val="00424A82"/>
    <w:rsid w:val="00424B27"/>
    <w:rsid w:val="00424E44"/>
    <w:rsid w:val="0042709F"/>
    <w:rsid w:val="004307DC"/>
    <w:rsid w:val="00431412"/>
    <w:rsid w:val="00432F11"/>
    <w:rsid w:val="004341A4"/>
    <w:rsid w:val="004343FD"/>
    <w:rsid w:val="00440402"/>
    <w:rsid w:val="00441626"/>
    <w:rsid w:val="0044253C"/>
    <w:rsid w:val="0044405D"/>
    <w:rsid w:val="00444AAD"/>
    <w:rsid w:val="0044518C"/>
    <w:rsid w:val="00447F67"/>
    <w:rsid w:val="00450B7C"/>
    <w:rsid w:val="00453E26"/>
    <w:rsid w:val="004544AD"/>
    <w:rsid w:val="00456405"/>
    <w:rsid w:val="00457BE7"/>
    <w:rsid w:val="00460894"/>
    <w:rsid w:val="00463AC0"/>
    <w:rsid w:val="00464D4A"/>
    <w:rsid w:val="00466C22"/>
    <w:rsid w:val="00466ED7"/>
    <w:rsid w:val="00466F83"/>
    <w:rsid w:val="004729F2"/>
    <w:rsid w:val="00473898"/>
    <w:rsid w:val="00473DF7"/>
    <w:rsid w:val="00475BAE"/>
    <w:rsid w:val="00476CE2"/>
    <w:rsid w:val="00477368"/>
    <w:rsid w:val="00481E9F"/>
    <w:rsid w:val="00486612"/>
    <w:rsid w:val="004875AA"/>
    <w:rsid w:val="0048771C"/>
    <w:rsid w:val="004902CA"/>
    <w:rsid w:val="00490C99"/>
    <w:rsid w:val="0049139C"/>
    <w:rsid w:val="004930C4"/>
    <w:rsid w:val="004968CB"/>
    <w:rsid w:val="00496FB3"/>
    <w:rsid w:val="004972D4"/>
    <w:rsid w:val="00497D66"/>
    <w:rsid w:val="004A0A40"/>
    <w:rsid w:val="004A1267"/>
    <w:rsid w:val="004A3425"/>
    <w:rsid w:val="004A4620"/>
    <w:rsid w:val="004B2F60"/>
    <w:rsid w:val="004B39ED"/>
    <w:rsid w:val="004B4697"/>
    <w:rsid w:val="004B471C"/>
    <w:rsid w:val="004B50B7"/>
    <w:rsid w:val="004B6882"/>
    <w:rsid w:val="004C08EB"/>
    <w:rsid w:val="004C109E"/>
    <w:rsid w:val="004C1CBA"/>
    <w:rsid w:val="004C24CD"/>
    <w:rsid w:val="004C3B99"/>
    <w:rsid w:val="004C445F"/>
    <w:rsid w:val="004C6C32"/>
    <w:rsid w:val="004D1867"/>
    <w:rsid w:val="004D1EA3"/>
    <w:rsid w:val="004D3FD7"/>
    <w:rsid w:val="004D4D9C"/>
    <w:rsid w:val="004D636B"/>
    <w:rsid w:val="004E1F61"/>
    <w:rsid w:val="004E2A51"/>
    <w:rsid w:val="004E36D6"/>
    <w:rsid w:val="004E568A"/>
    <w:rsid w:val="004E6EDC"/>
    <w:rsid w:val="004F070F"/>
    <w:rsid w:val="004F0A0A"/>
    <w:rsid w:val="004F1C89"/>
    <w:rsid w:val="004F4F17"/>
    <w:rsid w:val="004F55B5"/>
    <w:rsid w:val="0050141C"/>
    <w:rsid w:val="005022D2"/>
    <w:rsid w:val="00505637"/>
    <w:rsid w:val="0050615D"/>
    <w:rsid w:val="00506E6B"/>
    <w:rsid w:val="005072CD"/>
    <w:rsid w:val="005077FD"/>
    <w:rsid w:val="00510815"/>
    <w:rsid w:val="005134C4"/>
    <w:rsid w:val="0051689B"/>
    <w:rsid w:val="00517056"/>
    <w:rsid w:val="00517846"/>
    <w:rsid w:val="00521671"/>
    <w:rsid w:val="005218A5"/>
    <w:rsid w:val="00522984"/>
    <w:rsid w:val="00522CC4"/>
    <w:rsid w:val="00523A71"/>
    <w:rsid w:val="00524BBD"/>
    <w:rsid w:val="00527F79"/>
    <w:rsid w:val="005316C2"/>
    <w:rsid w:val="0053279C"/>
    <w:rsid w:val="00532B22"/>
    <w:rsid w:val="00532E45"/>
    <w:rsid w:val="005356A7"/>
    <w:rsid w:val="005376E1"/>
    <w:rsid w:val="00537CF1"/>
    <w:rsid w:val="005413E4"/>
    <w:rsid w:val="00542298"/>
    <w:rsid w:val="00544703"/>
    <w:rsid w:val="005470C8"/>
    <w:rsid w:val="005509C3"/>
    <w:rsid w:val="00550B94"/>
    <w:rsid w:val="005530E6"/>
    <w:rsid w:val="00554445"/>
    <w:rsid w:val="00554EB1"/>
    <w:rsid w:val="005561A2"/>
    <w:rsid w:val="00556C2B"/>
    <w:rsid w:val="00560248"/>
    <w:rsid w:val="0056190C"/>
    <w:rsid w:val="005625BF"/>
    <w:rsid w:val="00562B16"/>
    <w:rsid w:val="00565089"/>
    <w:rsid w:val="0056563A"/>
    <w:rsid w:val="005675B8"/>
    <w:rsid w:val="00570354"/>
    <w:rsid w:val="005717C5"/>
    <w:rsid w:val="005722D1"/>
    <w:rsid w:val="005729D1"/>
    <w:rsid w:val="0057547B"/>
    <w:rsid w:val="0057656F"/>
    <w:rsid w:val="00577E90"/>
    <w:rsid w:val="005828B1"/>
    <w:rsid w:val="00583762"/>
    <w:rsid w:val="00583B7A"/>
    <w:rsid w:val="005913CB"/>
    <w:rsid w:val="005947E2"/>
    <w:rsid w:val="00597266"/>
    <w:rsid w:val="005A12C5"/>
    <w:rsid w:val="005A219E"/>
    <w:rsid w:val="005A24E4"/>
    <w:rsid w:val="005A2BDD"/>
    <w:rsid w:val="005A3938"/>
    <w:rsid w:val="005A3FCE"/>
    <w:rsid w:val="005A63C9"/>
    <w:rsid w:val="005A734D"/>
    <w:rsid w:val="005B0297"/>
    <w:rsid w:val="005B5D5C"/>
    <w:rsid w:val="005C06B0"/>
    <w:rsid w:val="005C2D1D"/>
    <w:rsid w:val="005C3D47"/>
    <w:rsid w:val="005D1471"/>
    <w:rsid w:val="005D1E47"/>
    <w:rsid w:val="005D2AEF"/>
    <w:rsid w:val="005D2D89"/>
    <w:rsid w:val="005D471B"/>
    <w:rsid w:val="005D4914"/>
    <w:rsid w:val="005D4C07"/>
    <w:rsid w:val="005D67C7"/>
    <w:rsid w:val="005E039D"/>
    <w:rsid w:val="005E09BC"/>
    <w:rsid w:val="005E335D"/>
    <w:rsid w:val="005E33B8"/>
    <w:rsid w:val="005E3C02"/>
    <w:rsid w:val="005F1298"/>
    <w:rsid w:val="005F2A9F"/>
    <w:rsid w:val="005F3075"/>
    <w:rsid w:val="005F386B"/>
    <w:rsid w:val="005F5C57"/>
    <w:rsid w:val="005F5EAE"/>
    <w:rsid w:val="005F64FA"/>
    <w:rsid w:val="005F667A"/>
    <w:rsid w:val="005F78B9"/>
    <w:rsid w:val="006052E7"/>
    <w:rsid w:val="00606E70"/>
    <w:rsid w:val="00607646"/>
    <w:rsid w:val="00611611"/>
    <w:rsid w:val="006128B2"/>
    <w:rsid w:val="0061325A"/>
    <w:rsid w:val="006137B8"/>
    <w:rsid w:val="00614E49"/>
    <w:rsid w:val="00615E98"/>
    <w:rsid w:val="00617A28"/>
    <w:rsid w:val="00617BBF"/>
    <w:rsid w:val="00622027"/>
    <w:rsid w:val="006227CA"/>
    <w:rsid w:val="00622DE5"/>
    <w:rsid w:val="00625705"/>
    <w:rsid w:val="00626EE8"/>
    <w:rsid w:val="00627299"/>
    <w:rsid w:val="00627663"/>
    <w:rsid w:val="006277B0"/>
    <w:rsid w:val="00632EE1"/>
    <w:rsid w:val="006333C1"/>
    <w:rsid w:val="0063660B"/>
    <w:rsid w:val="006370B8"/>
    <w:rsid w:val="00637799"/>
    <w:rsid w:val="0064198F"/>
    <w:rsid w:val="00643587"/>
    <w:rsid w:val="006435B8"/>
    <w:rsid w:val="00646FB7"/>
    <w:rsid w:val="006478AC"/>
    <w:rsid w:val="0065046D"/>
    <w:rsid w:val="00650AC3"/>
    <w:rsid w:val="006520B6"/>
    <w:rsid w:val="00653999"/>
    <w:rsid w:val="006609BE"/>
    <w:rsid w:val="00663B2B"/>
    <w:rsid w:val="00666CD4"/>
    <w:rsid w:val="0067076D"/>
    <w:rsid w:val="00671E4D"/>
    <w:rsid w:val="00672518"/>
    <w:rsid w:val="00677E55"/>
    <w:rsid w:val="00677F31"/>
    <w:rsid w:val="006822C4"/>
    <w:rsid w:val="006839CC"/>
    <w:rsid w:val="00685E30"/>
    <w:rsid w:val="00685EB8"/>
    <w:rsid w:val="0068647B"/>
    <w:rsid w:val="006879B0"/>
    <w:rsid w:val="006905A7"/>
    <w:rsid w:val="006908DC"/>
    <w:rsid w:val="00691688"/>
    <w:rsid w:val="00693199"/>
    <w:rsid w:val="00695014"/>
    <w:rsid w:val="00695934"/>
    <w:rsid w:val="00696E5F"/>
    <w:rsid w:val="006A04AE"/>
    <w:rsid w:val="006A086C"/>
    <w:rsid w:val="006A70A5"/>
    <w:rsid w:val="006A726B"/>
    <w:rsid w:val="006A7C1F"/>
    <w:rsid w:val="006A7F32"/>
    <w:rsid w:val="006B0BA5"/>
    <w:rsid w:val="006B6031"/>
    <w:rsid w:val="006B64DE"/>
    <w:rsid w:val="006B7455"/>
    <w:rsid w:val="006C107E"/>
    <w:rsid w:val="006C1D32"/>
    <w:rsid w:val="006C2E3A"/>
    <w:rsid w:val="006C3E98"/>
    <w:rsid w:val="006C66F4"/>
    <w:rsid w:val="006C6DC5"/>
    <w:rsid w:val="006C72B8"/>
    <w:rsid w:val="006D0EBA"/>
    <w:rsid w:val="006D7A67"/>
    <w:rsid w:val="006E0901"/>
    <w:rsid w:val="006E0DC0"/>
    <w:rsid w:val="006E11DD"/>
    <w:rsid w:val="006E1C12"/>
    <w:rsid w:val="006E2018"/>
    <w:rsid w:val="006E27B8"/>
    <w:rsid w:val="006E5C07"/>
    <w:rsid w:val="006E67E4"/>
    <w:rsid w:val="006F04A0"/>
    <w:rsid w:val="006F1DF3"/>
    <w:rsid w:val="006F2907"/>
    <w:rsid w:val="006F4AA5"/>
    <w:rsid w:val="00700043"/>
    <w:rsid w:val="00701EB8"/>
    <w:rsid w:val="007028F3"/>
    <w:rsid w:val="0070618D"/>
    <w:rsid w:val="00710C46"/>
    <w:rsid w:val="00712172"/>
    <w:rsid w:val="007138BA"/>
    <w:rsid w:val="00713918"/>
    <w:rsid w:val="00713B5F"/>
    <w:rsid w:val="00713F16"/>
    <w:rsid w:val="00715FEA"/>
    <w:rsid w:val="00716CAF"/>
    <w:rsid w:val="00720A4F"/>
    <w:rsid w:val="007239D2"/>
    <w:rsid w:val="0072535F"/>
    <w:rsid w:val="00726C06"/>
    <w:rsid w:val="007274D5"/>
    <w:rsid w:val="00727898"/>
    <w:rsid w:val="00727E02"/>
    <w:rsid w:val="00736C35"/>
    <w:rsid w:val="00740880"/>
    <w:rsid w:val="0074203B"/>
    <w:rsid w:val="007458C6"/>
    <w:rsid w:val="007467D5"/>
    <w:rsid w:val="00750D05"/>
    <w:rsid w:val="00754610"/>
    <w:rsid w:val="007556FC"/>
    <w:rsid w:val="00755708"/>
    <w:rsid w:val="00755E00"/>
    <w:rsid w:val="00757112"/>
    <w:rsid w:val="007574C1"/>
    <w:rsid w:val="00760223"/>
    <w:rsid w:val="00760F7B"/>
    <w:rsid w:val="0076220E"/>
    <w:rsid w:val="00762BAD"/>
    <w:rsid w:val="00763013"/>
    <w:rsid w:val="00764479"/>
    <w:rsid w:val="007645EF"/>
    <w:rsid w:val="00766887"/>
    <w:rsid w:val="00767F64"/>
    <w:rsid w:val="007704DE"/>
    <w:rsid w:val="00770AD1"/>
    <w:rsid w:val="0077174F"/>
    <w:rsid w:val="00772928"/>
    <w:rsid w:val="00772AA3"/>
    <w:rsid w:val="00774B78"/>
    <w:rsid w:val="0077503C"/>
    <w:rsid w:val="007756AD"/>
    <w:rsid w:val="00775821"/>
    <w:rsid w:val="007760F3"/>
    <w:rsid w:val="007772C6"/>
    <w:rsid w:val="00777618"/>
    <w:rsid w:val="00777A55"/>
    <w:rsid w:val="00777B44"/>
    <w:rsid w:val="007833FE"/>
    <w:rsid w:val="00784CEF"/>
    <w:rsid w:val="00785417"/>
    <w:rsid w:val="00785606"/>
    <w:rsid w:val="00785A16"/>
    <w:rsid w:val="00785D9B"/>
    <w:rsid w:val="007879E3"/>
    <w:rsid w:val="00790547"/>
    <w:rsid w:val="007977E0"/>
    <w:rsid w:val="007A159A"/>
    <w:rsid w:val="007A33A6"/>
    <w:rsid w:val="007A3566"/>
    <w:rsid w:val="007A3AAD"/>
    <w:rsid w:val="007A4186"/>
    <w:rsid w:val="007A5084"/>
    <w:rsid w:val="007A536A"/>
    <w:rsid w:val="007A6096"/>
    <w:rsid w:val="007A675B"/>
    <w:rsid w:val="007B5272"/>
    <w:rsid w:val="007B57F4"/>
    <w:rsid w:val="007B7ABB"/>
    <w:rsid w:val="007C125A"/>
    <w:rsid w:val="007C197D"/>
    <w:rsid w:val="007C208F"/>
    <w:rsid w:val="007C23F8"/>
    <w:rsid w:val="007C34A2"/>
    <w:rsid w:val="007C61B1"/>
    <w:rsid w:val="007C7902"/>
    <w:rsid w:val="007D241F"/>
    <w:rsid w:val="007D367D"/>
    <w:rsid w:val="007D3779"/>
    <w:rsid w:val="007D4E1B"/>
    <w:rsid w:val="007D4EE8"/>
    <w:rsid w:val="007D5451"/>
    <w:rsid w:val="007E0122"/>
    <w:rsid w:val="007E4370"/>
    <w:rsid w:val="007E470D"/>
    <w:rsid w:val="007E6040"/>
    <w:rsid w:val="007F1F4B"/>
    <w:rsid w:val="007F2E11"/>
    <w:rsid w:val="007F55A2"/>
    <w:rsid w:val="007F6C6B"/>
    <w:rsid w:val="007F7906"/>
    <w:rsid w:val="007F7AFF"/>
    <w:rsid w:val="008006B5"/>
    <w:rsid w:val="00800BB4"/>
    <w:rsid w:val="008015B9"/>
    <w:rsid w:val="00801853"/>
    <w:rsid w:val="00814CFD"/>
    <w:rsid w:val="0081589C"/>
    <w:rsid w:val="008161BE"/>
    <w:rsid w:val="00817E75"/>
    <w:rsid w:val="00823AA8"/>
    <w:rsid w:val="0082678D"/>
    <w:rsid w:val="00827EC1"/>
    <w:rsid w:val="00830009"/>
    <w:rsid w:val="00830744"/>
    <w:rsid w:val="00831237"/>
    <w:rsid w:val="008321C1"/>
    <w:rsid w:val="008348E1"/>
    <w:rsid w:val="008370AF"/>
    <w:rsid w:val="008405D1"/>
    <w:rsid w:val="0084069F"/>
    <w:rsid w:val="00841C8A"/>
    <w:rsid w:val="00842397"/>
    <w:rsid w:val="00842D3A"/>
    <w:rsid w:val="00843D6B"/>
    <w:rsid w:val="00845166"/>
    <w:rsid w:val="00845B7F"/>
    <w:rsid w:val="00846BCC"/>
    <w:rsid w:val="0085014A"/>
    <w:rsid w:val="00851B70"/>
    <w:rsid w:val="00852E94"/>
    <w:rsid w:val="00854AF2"/>
    <w:rsid w:val="008550EB"/>
    <w:rsid w:val="008568D0"/>
    <w:rsid w:val="0086075C"/>
    <w:rsid w:val="00863580"/>
    <w:rsid w:val="00864C72"/>
    <w:rsid w:val="00864CCA"/>
    <w:rsid w:val="0086504D"/>
    <w:rsid w:val="0086636E"/>
    <w:rsid w:val="008666B3"/>
    <w:rsid w:val="0086691A"/>
    <w:rsid w:val="008701D8"/>
    <w:rsid w:val="00873137"/>
    <w:rsid w:val="00874574"/>
    <w:rsid w:val="00875DF7"/>
    <w:rsid w:val="008760A2"/>
    <w:rsid w:val="00876919"/>
    <w:rsid w:val="00881170"/>
    <w:rsid w:val="00883516"/>
    <w:rsid w:val="00885C2D"/>
    <w:rsid w:val="0088753F"/>
    <w:rsid w:val="00890E91"/>
    <w:rsid w:val="00891400"/>
    <w:rsid w:val="00893DAB"/>
    <w:rsid w:val="00893FA7"/>
    <w:rsid w:val="008943FF"/>
    <w:rsid w:val="0089567E"/>
    <w:rsid w:val="008A0F34"/>
    <w:rsid w:val="008A5463"/>
    <w:rsid w:val="008A71B5"/>
    <w:rsid w:val="008A79F3"/>
    <w:rsid w:val="008A7B92"/>
    <w:rsid w:val="008B0EEC"/>
    <w:rsid w:val="008B138C"/>
    <w:rsid w:val="008B2057"/>
    <w:rsid w:val="008B32B1"/>
    <w:rsid w:val="008B48C3"/>
    <w:rsid w:val="008B503F"/>
    <w:rsid w:val="008B6ADF"/>
    <w:rsid w:val="008C3972"/>
    <w:rsid w:val="008C54A0"/>
    <w:rsid w:val="008C5DFD"/>
    <w:rsid w:val="008C69B9"/>
    <w:rsid w:val="008D263A"/>
    <w:rsid w:val="008D2C18"/>
    <w:rsid w:val="008D431E"/>
    <w:rsid w:val="008D43D5"/>
    <w:rsid w:val="008D5532"/>
    <w:rsid w:val="008D6B4D"/>
    <w:rsid w:val="008D6C53"/>
    <w:rsid w:val="008D6D24"/>
    <w:rsid w:val="008D7DCF"/>
    <w:rsid w:val="008E1D28"/>
    <w:rsid w:val="008E5550"/>
    <w:rsid w:val="008E78D3"/>
    <w:rsid w:val="008F06A6"/>
    <w:rsid w:val="008F0CAC"/>
    <w:rsid w:val="008F0CB6"/>
    <w:rsid w:val="008F3132"/>
    <w:rsid w:val="008F3E96"/>
    <w:rsid w:val="008F4988"/>
    <w:rsid w:val="008F5E98"/>
    <w:rsid w:val="008F63B1"/>
    <w:rsid w:val="008F6964"/>
    <w:rsid w:val="008F7652"/>
    <w:rsid w:val="00902625"/>
    <w:rsid w:val="00904599"/>
    <w:rsid w:val="0090734D"/>
    <w:rsid w:val="009077E0"/>
    <w:rsid w:val="00907C7F"/>
    <w:rsid w:val="00912A60"/>
    <w:rsid w:val="0091322A"/>
    <w:rsid w:val="00914310"/>
    <w:rsid w:val="00914732"/>
    <w:rsid w:val="00915088"/>
    <w:rsid w:val="0091591F"/>
    <w:rsid w:val="00915B7C"/>
    <w:rsid w:val="009208CA"/>
    <w:rsid w:val="00926C17"/>
    <w:rsid w:val="00927745"/>
    <w:rsid w:val="00930E16"/>
    <w:rsid w:val="009313C8"/>
    <w:rsid w:val="009336E3"/>
    <w:rsid w:val="00933D36"/>
    <w:rsid w:val="0093552D"/>
    <w:rsid w:val="00935A79"/>
    <w:rsid w:val="00937D02"/>
    <w:rsid w:val="00941EBE"/>
    <w:rsid w:val="00943569"/>
    <w:rsid w:val="00943AA9"/>
    <w:rsid w:val="00946299"/>
    <w:rsid w:val="00950BAA"/>
    <w:rsid w:val="00950FC5"/>
    <w:rsid w:val="00951B5C"/>
    <w:rsid w:val="0095596B"/>
    <w:rsid w:val="009572DD"/>
    <w:rsid w:val="009642D3"/>
    <w:rsid w:val="00965A79"/>
    <w:rsid w:val="00972354"/>
    <w:rsid w:val="00973FCC"/>
    <w:rsid w:val="0097566F"/>
    <w:rsid w:val="00976D98"/>
    <w:rsid w:val="00977314"/>
    <w:rsid w:val="00977EC9"/>
    <w:rsid w:val="00981BBA"/>
    <w:rsid w:val="00982F2A"/>
    <w:rsid w:val="00985E5A"/>
    <w:rsid w:val="00986892"/>
    <w:rsid w:val="00990979"/>
    <w:rsid w:val="00992E72"/>
    <w:rsid w:val="00995C69"/>
    <w:rsid w:val="009960C2"/>
    <w:rsid w:val="00996FDD"/>
    <w:rsid w:val="00997013"/>
    <w:rsid w:val="009A4515"/>
    <w:rsid w:val="009A6F4D"/>
    <w:rsid w:val="009B0212"/>
    <w:rsid w:val="009B261D"/>
    <w:rsid w:val="009B2949"/>
    <w:rsid w:val="009B78A3"/>
    <w:rsid w:val="009C0AA6"/>
    <w:rsid w:val="009C1E77"/>
    <w:rsid w:val="009C3888"/>
    <w:rsid w:val="009C5247"/>
    <w:rsid w:val="009D0F0F"/>
    <w:rsid w:val="009D2901"/>
    <w:rsid w:val="009D2BF9"/>
    <w:rsid w:val="009D3927"/>
    <w:rsid w:val="009D3BEA"/>
    <w:rsid w:val="009D5301"/>
    <w:rsid w:val="009D7B3A"/>
    <w:rsid w:val="009D7C5A"/>
    <w:rsid w:val="009E0389"/>
    <w:rsid w:val="009E157A"/>
    <w:rsid w:val="009E2AC7"/>
    <w:rsid w:val="009E3333"/>
    <w:rsid w:val="009E4C9E"/>
    <w:rsid w:val="009F01AE"/>
    <w:rsid w:val="009F11B9"/>
    <w:rsid w:val="009F1FFF"/>
    <w:rsid w:val="009F5426"/>
    <w:rsid w:val="00A00A7E"/>
    <w:rsid w:val="00A01344"/>
    <w:rsid w:val="00A02D8E"/>
    <w:rsid w:val="00A02F5B"/>
    <w:rsid w:val="00A06CF9"/>
    <w:rsid w:val="00A072E7"/>
    <w:rsid w:val="00A07EED"/>
    <w:rsid w:val="00A1036A"/>
    <w:rsid w:val="00A109F4"/>
    <w:rsid w:val="00A11D4D"/>
    <w:rsid w:val="00A11E59"/>
    <w:rsid w:val="00A122C8"/>
    <w:rsid w:val="00A136CE"/>
    <w:rsid w:val="00A142D0"/>
    <w:rsid w:val="00A15441"/>
    <w:rsid w:val="00A16B4D"/>
    <w:rsid w:val="00A2057F"/>
    <w:rsid w:val="00A23637"/>
    <w:rsid w:val="00A2633E"/>
    <w:rsid w:val="00A33AB4"/>
    <w:rsid w:val="00A33DD7"/>
    <w:rsid w:val="00A3611A"/>
    <w:rsid w:val="00A412AA"/>
    <w:rsid w:val="00A423E3"/>
    <w:rsid w:val="00A46421"/>
    <w:rsid w:val="00A47F84"/>
    <w:rsid w:val="00A5075C"/>
    <w:rsid w:val="00A515F0"/>
    <w:rsid w:val="00A53B5E"/>
    <w:rsid w:val="00A54CB1"/>
    <w:rsid w:val="00A54D12"/>
    <w:rsid w:val="00A5670B"/>
    <w:rsid w:val="00A57DB8"/>
    <w:rsid w:val="00A6159E"/>
    <w:rsid w:val="00A61985"/>
    <w:rsid w:val="00A632A3"/>
    <w:rsid w:val="00A71218"/>
    <w:rsid w:val="00A722AE"/>
    <w:rsid w:val="00A7443D"/>
    <w:rsid w:val="00A75365"/>
    <w:rsid w:val="00A77C9C"/>
    <w:rsid w:val="00A81FEC"/>
    <w:rsid w:val="00A84E71"/>
    <w:rsid w:val="00A85925"/>
    <w:rsid w:val="00A865D3"/>
    <w:rsid w:val="00A86BE7"/>
    <w:rsid w:val="00A91A8E"/>
    <w:rsid w:val="00A9296A"/>
    <w:rsid w:val="00A92D73"/>
    <w:rsid w:val="00A93530"/>
    <w:rsid w:val="00A943FF"/>
    <w:rsid w:val="00A94CE4"/>
    <w:rsid w:val="00A95118"/>
    <w:rsid w:val="00A96D46"/>
    <w:rsid w:val="00AA0864"/>
    <w:rsid w:val="00AA324D"/>
    <w:rsid w:val="00AA372B"/>
    <w:rsid w:val="00AA37FF"/>
    <w:rsid w:val="00AA4D22"/>
    <w:rsid w:val="00AA5B8D"/>
    <w:rsid w:val="00AB0BE7"/>
    <w:rsid w:val="00AB2FC7"/>
    <w:rsid w:val="00AB2FFA"/>
    <w:rsid w:val="00AB3BA3"/>
    <w:rsid w:val="00AB3D20"/>
    <w:rsid w:val="00AB70B7"/>
    <w:rsid w:val="00AB7DB8"/>
    <w:rsid w:val="00AC0146"/>
    <w:rsid w:val="00AC04D3"/>
    <w:rsid w:val="00AC09DF"/>
    <w:rsid w:val="00AC0ECF"/>
    <w:rsid w:val="00AC159B"/>
    <w:rsid w:val="00AC180D"/>
    <w:rsid w:val="00AC298B"/>
    <w:rsid w:val="00AC406F"/>
    <w:rsid w:val="00AC5562"/>
    <w:rsid w:val="00AD15BF"/>
    <w:rsid w:val="00AD1B15"/>
    <w:rsid w:val="00AD2140"/>
    <w:rsid w:val="00AD5031"/>
    <w:rsid w:val="00AE117D"/>
    <w:rsid w:val="00AE335E"/>
    <w:rsid w:val="00AE5F98"/>
    <w:rsid w:val="00AF3DFA"/>
    <w:rsid w:val="00AF4357"/>
    <w:rsid w:val="00AF5EE4"/>
    <w:rsid w:val="00AF62D1"/>
    <w:rsid w:val="00B00090"/>
    <w:rsid w:val="00B002F2"/>
    <w:rsid w:val="00B016B2"/>
    <w:rsid w:val="00B02531"/>
    <w:rsid w:val="00B02BAC"/>
    <w:rsid w:val="00B04009"/>
    <w:rsid w:val="00B05C4A"/>
    <w:rsid w:val="00B06C8B"/>
    <w:rsid w:val="00B06DD9"/>
    <w:rsid w:val="00B13224"/>
    <w:rsid w:val="00B13D89"/>
    <w:rsid w:val="00B13E0C"/>
    <w:rsid w:val="00B13FAC"/>
    <w:rsid w:val="00B14437"/>
    <w:rsid w:val="00B158BE"/>
    <w:rsid w:val="00B174B8"/>
    <w:rsid w:val="00B253C3"/>
    <w:rsid w:val="00B25544"/>
    <w:rsid w:val="00B255BA"/>
    <w:rsid w:val="00B3091D"/>
    <w:rsid w:val="00B31506"/>
    <w:rsid w:val="00B340AE"/>
    <w:rsid w:val="00B36A66"/>
    <w:rsid w:val="00B37551"/>
    <w:rsid w:val="00B4029D"/>
    <w:rsid w:val="00B40DB0"/>
    <w:rsid w:val="00B41AC8"/>
    <w:rsid w:val="00B41B20"/>
    <w:rsid w:val="00B43A70"/>
    <w:rsid w:val="00B46E58"/>
    <w:rsid w:val="00B51A27"/>
    <w:rsid w:val="00B52323"/>
    <w:rsid w:val="00B52754"/>
    <w:rsid w:val="00B538AB"/>
    <w:rsid w:val="00B54392"/>
    <w:rsid w:val="00B5540A"/>
    <w:rsid w:val="00B56B61"/>
    <w:rsid w:val="00B56D4E"/>
    <w:rsid w:val="00B577E3"/>
    <w:rsid w:val="00B608AE"/>
    <w:rsid w:val="00B61EB0"/>
    <w:rsid w:val="00B62A9D"/>
    <w:rsid w:val="00B713F8"/>
    <w:rsid w:val="00B72194"/>
    <w:rsid w:val="00B74654"/>
    <w:rsid w:val="00B746B9"/>
    <w:rsid w:val="00B82816"/>
    <w:rsid w:val="00B8365C"/>
    <w:rsid w:val="00B8377B"/>
    <w:rsid w:val="00B83C5B"/>
    <w:rsid w:val="00B8588F"/>
    <w:rsid w:val="00B86248"/>
    <w:rsid w:val="00B86C58"/>
    <w:rsid w:val="00B86E61"/>
    <w:rsid w:val="00B90EF7"/>
    <w:rsid w:val="00B91C9E"/>
    <w:rsid w:val="00B91E77"/>
    <w:rsid w:val="00B934D4"/>
    <w:rsid w:val="00B95500"/>
    <w:rsid w:val="00B957EE"/>
    <w:rsid w:val="00B96805"/>
    <w:rsid w:val="00BA67DA"/>
    <w:rsid w:val="00BA7098"/>
    <w:rsid w:val="00BA7B39"/>
    <w:rsid w:val="00BB1D0F"/>
    <w:rsid w:val="00BB2970"/>
    <w:rsid w:val="00BB33F6"/>
    <w:rsid w:val="00BB7DB1"/>
    <w:rsid w:val="00BB7EA6"/>
    <w:rsid w:val="00BC2E51"/>
    <w:rsid w:val="00BC42F7"/>
    <w:rsid w:val="00BC5F63"/>
    <w:rsid w:val="00BC6934"/>
    <w:rsid w:val="00BC7F68"/>
    <w:rsid w:val="00BD020A"/>
    <w:rsid w:val="00BD0AB5"/>
    <w:rsid w:val="00BD104E"/>
    <w:rsid w:val="00BD4EE4"/>
    <w:rsid w:val="00BD5234"/>
    <w:rsid w:val="00BD5E5E"/>
    <w:rsid w:val="00BE183E"/>
    <w:rsid w:val="00BE3887"/>
    <w:rsid w:val="00BE4871"/>
    <w:rsid w:val="00BE5334"/>
    <w:rsid w:val="00BE558E"/>
    <w:rsid w:val="00BF3947"/>
    <w:rsid w:val="00BF4C9B"/>
    <w:rsid w:val="00BF4F04"/>
    <w:rsid w:val="00BF5875"/>
    <w:rsid w:val="00C03884"/>
    <w:rsid w:val="00C049E1"/>
    <w:rsid w:val="00C0755A"/>
    <w:rsid w:val="00C0785A"/>
    <w:rsid w:val="00C110EF"/>
    <w:rsid w:val="00C11231"/>
    <w:rsid w:val="00C11C43"/>
    <w:rsid w:val="00C140BA"/>
    <w:rsid w:val="00C179B0"/>
    <w:rsid w:val="00C20321"/>
    <w:rsid w:val="00C21CA3"/>
    <w:rsid w:val="00C23E99"/>
    <w:rsid w:val="00C24EAE"/>
    <w:rsid w:val="00C26A3E"/>
    <w:rsid w:val="00C26C38"/>
    <w:rsid w:val="00C2733D"/>
    <w:rsid w:val="00C3242F"/>
    <w:rsid w:val="00C33B5E"/>
    <w:rsid w:val="00C34EB5"/>
    <w:rsid w:val="00C35E05"/>
    <w:rsid w:val="00C35F16"/>
    <w:rsid w:val="00C3745A"/>
    <w:rsid w:val="00C37C4F"/>
    <w:rsid w:val="00C4017B"/>
    <w:rsid w:val="00C40430"/>
    <w:rsid w:val="00C42102"/>
    <w:rsid w:val="00C43583"/>
    <w:rsid w:val="00C43CB9"/>
    <w:rsid w:val="00C445F2"/>
    <w:rsid w:val="00C45278"/>
    <w:rsid w:val="00C45A1E"/>
    <w:rsid w:val="00C46FE6"/>
    <w:rsid w:val="00C50DFF"/>
    <w:rsid w:val="00C50F91"/>
    <w:rsid w:val="00C51F05"/>
    <w:rsid w:val="00C54012"/>
    <w:rsid w:val="00C54FFF"/>
    <w:rsid w:val="00C55B7A"/>
    <w:rsid w:val="00C5640D"/>
    <w:rsid w:val="00C564A1"/>
    <w:rsid w:val="00C57ECA"/>
    <w:rsid w:val="00C60770"/>
    <w:rsid w:val="00C61D2F"/>
    <w:rsid w:val="00C648C0"/>
    <w:rsid w:val="00C6574D"/>
    <w:rsid w:val="00C66C68"/>
    <w:rsid w:val="00C67871"/>
    <w:rsid w:val="00C72640"/>
    <w:rsid w:val="00C736D5"/>
    <w:rsid w:val="00C73CBB"/>
    <w:rsid w:val="00C759D1"/>
    <w:rsid w:val="00C75DAF"/>
    <w:rsid w:val="00C77D3F"/>
    <w:rsid w:val="00C803F2"/>
    <w:rsid w:val="00C80567"/>
    <w:rsid w:val="00C8181A"/>
    <w:rsid w:val="00C84422"/>
    <w:rsid w:val="00C92950"/>
    <w:rsid w:val="00CA4BBD"/>
    <w:rsid w:val="00CA72ED"/>
    <w:rsid w:val="00CA77DA"/>
    <w:rsid w:val="00CB2006"/>
    <w:rsid w:val="00CB355F"/>
    <w:rsid w:val="00CB35C5"/>
    <w:rsid w:val="00CB3A02"/>
    <w:rsid w:val="00CC0F1A"/>
    <w:rsid w:val="00CC177A"/>
    <w:rsid w:val="00CC1A0B"/>
    <w:rsid w:val="00CC23AB"/>
    <w:rsid w:val="00CC2BF2"/>
    <w:rsid w:val="00CC5737"/>
    <w:rsid w:val="00CC5BF4"/>
    <w:rsid w:val="00CD017A"/>
    <w:rsid w:val="00CD0A90"/>
    <w:rsid w:val="00CD1204"/>
    <w:rsid w:val="00CD297F"/>
    <w:rsid w:val="00CD2D59"/>
    <w:rsid w:val="00CD39BC"/>
    <w:rsid w:val="00CD3EBE"/>
    <w:rsid w:val="00CD69D3"/>
    <w:rsid w:val="00CD6A8D"/>
    <w:rsid w:val="00CD79BF"/>
    <w:rsid w:val="00CE0503"/>
    <w:rsid w:val="00CE229D"/>
    <w:rsid w:val="00CE58B0"/>
    <w:rsid w:val="00CE5FF5"/>
    <w:rsid w:val="00CE6F64"/>
    <w:rsid w:val="00CE70A6"/>
    <w:rsid w:val="00CE7473"/>
    <w:rsid w:val="00CF049A"/>
    <w:rsid w:val="00CF249D"/>
    <w:rsid w:val="00CF6005"/>
    <w:rsid w:val="00D00751"/>
    <w:rsid w:val="00D00DEA"/>
    <w:rsid w:val="00D037F9"/>
    <w:rsid w:val="00D039FA"/>
    <w:rsid w:val="00D054FD"/>
    <w:rsid w:val="00D05B6A"/>
    <w:rsid w:val="00D06DC4"/>
    <w:rsid w:val="00D119F7"/>
    <w:rsid w:val="00D13225"/>
    <w:rsid w:val="00D14303"/>
    <w:rsid w:val="00D145EA"/>
    <w:rsid w:val="00D1500A"/>
    <w:rsid w:val="00D153B2"/>
    <w:rsid w:val="00D1564F"/>
    <w:rsid w:val="00D1747B"/>
    <w:rsid w:val="00D20123"/>
    <w:rsid w:val="00D203DF"/>
    <w:rsid w:val="00D2048D"/>
    <w:rsid w:val="00D21429"/>
    <w:rsid w:val="00D21679"/>
    <w:rsid w:val="00D22FFD"/>
    <w:rsid w:val="00D2331C"/>
    <w:rsid w:val="00D23DDE"/>
    <w:rsid w:val="00D23F23"/>
    <w:rsid w:val="00D32A56"/>
    <w:rsid w:val="00D33247"/>
    <w:rsid w:val="00D33D03"/>
    <w:rsid w:val="00D3626D"/>
    <w:rsid w:val="00D36B87"/>
    <w:rsid w:val="00D407AB"/>
    <w:rsid w:val="00D4093F"/>
    <w:rsid w:val="00D426E5"/>
    <w:rsid w:val="00D43EDE"/>
    <w:rsid w:val="00D44E46"/>
    <w:rsid w:val="00D4500C"/>
    <w:rsid w:val="00D523ED"/>
    <w:rsid w:val="00D52E90"/>
    <w:rsid w:val="00D54525"/>
    <w:rsid w:val="00D546CC"/>
    <w:rsid w:val="00D54D51"/>
    <w:rsid w:val="00D55605"/>
    <w:rsid w:val="00D55E79"/>
    <w:rsid w:val="00D56403"/>
    <w:rsid w:val="00D578A8"/>
    <w:rsid w:val="00D6038A"/>
    <w:rsid w:val="00D60AF8"/>
    <w:rsid w:val="00D614FB"/>
    <w:rsid w:val="00D61D68"/>
    <w:rsid w:val="00D63B94"/>
    <w:rsid w:val="00D642F4"/>
    <w:rsid w:val="00D65377"/>
    <w:rsid w:val="00D66F94"/>
    <w:rsid w:val="00D706F5"/>
    <w:rsid w:val="00D76089"/>
    <w:rsid w:val="00D76D58"/>
    <w:rsid w:val="00D76E0D"/>
    <w:rsid w:val="00D7794C"/>
    <w:rsid w:val="00D8190E"/>
    <w:rsid w:val="00D83AEE"/>
    <w:rsid w:val="00D853A4"/>
    <w:rsid w:val="00D86ADC"/>
    <w:rsid w:val="00D91573"/>
    <w:rsid w:val="00D923AA"/>
    <w:rsid w:val="00D92A45"/>
    <w:rsid w:val="00D92D3F"/>
    <w:rsid w:val="00D935BE"/>
    <w:rsid w:val="00D93B1C"/>
    <w:rsid w:val="00D93DB5"/>
    <w:rsid w:val="00D94E8D"/>
    <w:rsid w:val="00D94FA9"/>
    <w:rsid w:val="00D95250"/>
    <w:rsid w:val="00D95605"/>
    <w:rsid w:val="00D96345"/>
    <w:rsid w:val="00DA0400"/>
    <w:rsid w:val="00DA07BA"/>
    <w:rsid w:val="00DA2744"/>
    <w:rsid w:val="00DA3894"/>
    <w:rsid w:val="00DA3D41"/>
    <w:rsid w:val="00DA4558"/>
    <w:rsid w:val="00DA497D"/>
    <w:rsid w:val="00DA6F8F"/>
    <w:rsid w:val="00DA7A32"/>
    <w:rsid w:val="00DB21A5"/>
    <w:rsid w:val="00DB447A"/>
    <w:rsid w:val="00DB4D96"/>
    <w:rsid w:val="00DB70CD"/>
    <w:rsid w:val="00DC117D"/>
    <w:rsid w:val="00DC15DF"/>
    <w:rsid w:val="00DC20D5"/>
    <w:rsid w:val="00DC2BBD"/>
    <w:rsid w:val="00DC5349"/>
    <w:rsid w:val="00DC53B3"/>
    <w:rsid w:val="00DC6638"/>
    <w:rsid w:val="00DD05DA"/>
    <w:rsid w:val="00DD1C0B"/>
    <w:rsid w:val="00DD5C11"/>
    <w:rsid w:val="00DD6295"/>
    <w:rsid w:val="00DE0E8D"/>
    <w:rsid w:val="00DE25C7"/>
    <w:rsid w:val="00DE4B0B"/>
    <w:rsid w:val="00DE5BA7"/>
    <w:rsid w:val="00DE6532"/>
    <w:rsid w:val="00DF2887"/>
    <w:rsid w:val="00DF2F42"/>
    <w:rsid w:val="00DF3A58"/>
    <w:rsid w:val="00DF3D4A"/>
    <w:rsid w:val="00DF414A"/>
    <w:rsid w:val="00DF6123"/>
    <w:rsid w:val="00E02E80"/>
    <w:rsid w:val="00E03496"/>
    <w:rsid w:val="00E04473"/>
    <w:rsid w:val="00E04A73"/>
    <w:rsid w:val="00E0553F"/>
    <w:rsid w:val="00E11A30"/>
    <w:rsid w:val="00E13C37"/>
    <w:rsid w:val="00E144E0"/>
    <w:rsid w:val="00E16138"/>
    <w:rsid w:val="00E16642"/>
    <w:rsid w:val="00E16797"/>
    <w:rsid w:val="00E16D72"/>
    <w:rsid w:val="00E20F8D"/>
    <w:rsid w:val="00E21F9D"/>
    <w:rsid w:val="00E23223"/>
    <w:rsid w:val="00E23927"/>
    <w:rsid w:val="00E25874"/>
    <w:rsid w:val="00E2799A"/>
    <w:rsid w:val="00E3000F"/>
    <w:rsid w:val="00E3167C"/>
    <w:rsid w:val="00E31A50"/>
    <w:rsid w:val="00E32156"/>
    <w:rsid w:val="00E3329D"/>
    <w:rsid w:val="00E364C6"/>
    <w:rsid w:val="00E37188"/>
    <w:rsid w:val="00E4032A"/>
    <w:rsid w:val="00E41CB2"/>
    <w:rsid w:val="00E431A1"/>
    <w:rsid w:val="00E434B4"/>
    <w:rsid w:val="00E445BF"/>
    <w:rsid w:val="00E4750A"/>
    <w:rsid w:val="00E47862"/>
    <w:rsid w:val="00E51919"/>
    <w:rsid w:val="00E521D4"/>
    <w:rsid w:val="00E53781"/>
    <w:rsid w:val="00E5421D"/>
    <w:rsid w:val="00E55E94"/>
    <w:rsid w:val="00E57180"/>
    <w:rsid w:val="00E623F7"/>
    <w:rsid w:val="00E64901"/>
    <w:rsid w:val="00E65195"/>
    <w:rsid w:val="00E65196"/>
    <w:rsid w:val="00E65367"/>
    <w:rsid w:val="00E6555D"/>
    <w:rsid w:val="00E65863"/>
    <w:rsid w:val="00E660F9"/>
    <w:rsid w:val="00E6682D"/>
    <w:rsid w:val="00E67535"/>
    <w:rsid w:val="00E719BC"/>
    <w:rsid w:val="00E71A8B"/>
    <w:rsid w:val="00E724E1"/>
    <w:rsid w:val="00E72AD1"/>
    <w:rsid w:val="00E72D99"/>
    <w:rsid w:val="00E739C0"/>
    <w:rsid w:val="00E76C00"/>
    <w:rsid w:val="00E77C05"/>
    <w:rsid w:val="00E815A6"/>
    <w:rsid w:val="00E825A1"/>
    <w:rsid w:val="00E83167"/>
    <w:rsid w:val="00E857BB"/>
    <w:rsid w:val="00E86252"/>
    <w:rsid w:val="00E868CA"/>
    <w:rsid w:val="00E87813"/>
    <w:rsid w:val="00E91399"/>
    <w:rsid w:val="00E9206B"/>
    <w:rsid w:val="00E93667"/>
    <w:rsid w:val="00E944B2"/>
    <w:rsid w:val="00E96804"/>
    <w:rsid w:val="00EA29A0"/>
    <w:rsid w:val="00EA29C5"/>
    <w:rsid w:val="00EA2C87"/>
    <w:rsid w:val="00EA364B"/>
    <w:rsid w:val="00EA6DEA"/>
    <w:rsid w:val="00EA6FEF"/>
    <w:rsid w:val="00EA7D5B"/>
    <w:rsid w:val="00EB1288"/>
    <w:rsid w:val="00EB6131"/>
    <w:rsid w:val="00EC1553"/>
    <w:rsid w:val="00EC6465"/>
    <w:rsid w:val="00EC6DD1"/>
    <w:rsid w:val="00EC77F7"/>
    <w:rsid w:val="00ED0188"/>
    <w:rsid w:val="00ED0395"/>
    <w:rsid w:val="00ED0571"/>
    <w:rsid w:val="00ED0E88"/>
    <w:rsid w:val="00ED1C9E"/>
    <w:rsid w:val="00ED1D66"/>
    <w:rsid w:val="00ED625D"/>
    <w:rsid w:val="00EE0F70"/>
    <w:rsid w:val="00EE1826"/>
    <w:rsid w:val="00EE1A32"/>
    <w:rsid w:val="00EE1FB6"/>
    <w:rsid w:val="00EE2409"/>
    <w:rsid w:val="00EE3E2C"/>
    <w:rsid w:val="00EE54D4"/>
    <w:rsid w:val="00EE7321"/>
    <w:rsid w:val="00EE74ED"/>
    <w:rsid w:val="00EE782B"/>
    <w:rsid w:val="00EE7D60"/>
    <w:rsid w:val="00EE7E76"/>
    <w:rsid w:val="00EE7EF4"/>
    <w:rsid w:val="00EF3CEC"/>
    <w:rsid w:val="00EF5AB4"/>
    <w:rsid w:val="00EF5D4D"/>
    <w:rsid w:val="00F01A31"/>
    <w:rsid w:val="00F01EB8"/>
    <w:rsid w:val="00F05939"/>
    <w:rsid w:val="00F075F6"/>
    <w:rsid w:val="00F110A0"/>
    <w:rsid w:val="00F1169B"/>
    <w:rsid w:val="00F13218"/>
    <w:rsid w:val="00F135D0"/>
    <w:rsid w:val="00F15028"/>
    <w:rsid w:val="00F174AF"/>
    <w:rsid w:val="00F17B86"/>
    <w:rsid w:val="00F20B1F"/>
    <w:rsid w:val="00F21FCF"/>
    <w:rsid w:val="00F223AC"/>
    <w:rsid w:val="00F24508"/>
    <w:rsid w:val="00F268FF"/>
    <w:rsid w:val="00F27A74"/>
    <w:rsid w:val="00F3139A"/>
    <w:rsid w:val="00F32DCD"/>
    <w:rsid w:val="00F32FEB"/>
    <w:rsid w:val="00F33E37"/>
    <w:rsid w:val="00F343C7"/>
    <w:rsid w:val="00F351C5"/>
    <w:rsid w:val="00F35E8F"/>
    <w:rsid w:val="00F36EBC"/>
    <w:rsid w:val="00F371D0"/>
    <w:rsid w:val="00F375DB"/>
    <w:rsid w:val="00F3767D"/>
    <w:rsid w:val="00F37A2D"/>
    <w:rsid w:val="00F40FCD"/>
    <w:rsid w:val="00F410E7"/>
    <w:rsid w:val="00F41C41"/>
    <w:rsid w:val="00F41F8F"/>
    <w:rsid w:val="00F43C5E"/>
    <w:rsid w:val="00F43DA2"/>
    <w:rsid w:val="00F444BD"/>
    <w:rsid w:val="00F44CA7"/>
    <w:rsid w:val="00F460A5"/>
    <w:rsid w:val="00F473B1"/>
    <w:rsid w:val="00F479B0"/>
    <w:rsid w:val="00F47BC3"/>
    <w:rsid w:val="00F52EF7"/>
    <w:rsid w:val="00F53061"/>
    <w:rsid w:val="00F60A51"/>
    <w:rsid w:val="00F6116B"/>
    <w:rsid w:val="00F6249B"/>
    <w:rsid w:val="00F66F52"/>
    <w:rsid w:val="00F67DEA"/>
    <w:rsid w:val="00F72BBD"/>
    <w:rsid w:val="00F74493"/>
    <w:rsid w:val="00F74E34"/>
    <w:rsid w:val="00F75BD1"/>
    <w:rsid w:val="00F76CA9"/>
    <w:rsid w:val="00F77DBA"/>
    <w:rsid w:val="00F8077E"/>
    <w:rsid w:val="00F81A70"/>
    <w:rsid w:val="00F81EB1"/>
    <w:rsid w:val="00F82254"/>
    <w:rsid w:val="00F84197"/>
    <w:rsid w:val="00F84524"/>
    <w:rsid w:val="00F85DCA"/>
    <w:rsid w:val="00F864C7"/>
    <w:rsid w:val="00F87B64"/>
    <w:rsid w:val="00F905F8"/>
    <w:rsid w:val="00F925CF"/>
    <w:rsid w:val="00F92DA9"/>
    <w:rsid w:val="00F936F6"/>
    <w:rsid w:val="00F9384F"/>
    <w:rsid w:val="00F93C54"/>
    <w:rsid w:val="00F951A0"/>
    <w:rsid w:val="00FA085D"/>
    <w:rsid w:val="00FA3698"/>
    <w:rsid w:val="00FA373B"/>
    <w:rsid w:val="00FB0E51"/>
    <w:rsid w:val="00FB22E3"/>
    <w:rsid w:val="00FB2AD2"/>
    <w:rsid w:val="00FB2E05"/>
    <w:rsid w:val="00FB2FB5"/>
    <w:rsid w:val="00FB47ED"/>
    <w:rsid w:val="00FB6F98"/>
    <w:rsid w:val="00FC0ADE"/>
    <w:rsid w:val="00FC56D3"/>
    <w:rsid w:val="00FC6EDB"/>
    <w:rsid w:val="00FD0516"/>
    <w:rsid w:val="00FD1271"/>
    <w:rsid w:val="00FD238D"/>
    <w:rsid w:val="00FD3603"/>
    <w:rsid w:val="00FD4641"/>
    <w:rsid w:val="00FD606B"/>
    <w:rsid w:val="00FD7C3C"/>
    <w:rsid w:val="00FE3D13"/>
    <w:rsid w:val="00FE4E78"/>
    <w:rsid w:val="00FE66BC"/>
    <w:rsid w:val="00FF28E9"/>
    <w:rsid w:val="00FF2CD4"/>
    <w:rsid w:val="00FF5251"/>
    <w:rsid w:val="00FF5797"/>
    <w:rsid w:val="00FF6A09"/>
    <w:rsid w:val="00FF6B8F"/>
    <w:rsid w:val="00FF7434"/>
    <w:rsid w:val="0DBDAF38"/>
    <w:rsid w:val="0E60787B"/>
    <w:rsid w:val="13934949"/>
    <w:rsid w:val="14C8B368"/>
    <w:rsid w:val="23845545"/>
    <w:rsid w:val="24F1D1F6"/>
    <w:rsid w:val="3B866964"/>
    <w:rsid w:val="3EB478DB"/>
    <w:rsid w:val="40E82369"/>
    <w:rsid w:val="41176CBD"/>
    <w:rsid w:val="4820553E"/>
    <w:rsid w:val="4B16B229"/>
    <w:rsid w:val="4BF0C104"/>
    <w:rsid w:val="4CB601AF"/>
    <w:rsid w:val="57A5673D"/>
    <w:rsid w:val="5B7B2041"/>
    <w:rsid w:val="5BB53481"/>
    <w:rsid w:val="67F63E1C"/>
    <w:rsid w:val="6A85E0EE"/>
    <w:rsid w:val="6DC9E538"/>
    <w:rsid w:val="6DCF3398"/>
    <w:rsid w:val="6FD9122A"/>
    <w:rsid w:val="77DFF9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3F129C"/>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3F129C"/>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customStyle="1" w:styleId="UnresolvedMention2">
    <w:name w:val="Unresolved Mention2"/>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03554331">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04877780">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2.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908852-2FE3-41F9-BCBD-1E89657362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214894-0206-4C0E-931E-92757888E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Template>
  <TotalTime>3</TotalTime>
  <Pages>6</Pages>
  <Words>1214</Words>
  <Characters>6922</Characters>
  <Application>Microsoft Office Word</Application>
  <DocSecurity>0</DocSecurity>
  <Lines>57</Lines>
  <Paragraphs>16</Paragraphs>
  <ScaleCrop>false</ScaleCrop>
  <Company>CE Electric UK</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Form</dc:title>
  <dc:creator>Guidance</dc:creator>
  <cp:lastModifiedBy>Mullen (ESO), Paul J</cp:lastModifiedBy>
  <cp:revision>5</cp:revision>
  <cp:lastPrinted>2020-02-06T13:28:00Z</cp:lastPrinted>
  <dcterms:created xsi:type="dcterms:W3CDTF">2021-05-18T07:23:00Z</dcterms:created>
  <dcterms:modified xsi:type="dcterms:W3CDTF">2021-05-20T20:58:00Z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ies>
</file>